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0C19DDC6" w:rsidR="00C44EE4" w:rsidRPr="000A64D8" w:rsidRDefault="00402FC9" w:rsidP="00C44EE4">
      <w:pPr>
        <w:tabs>
          <w:tab w:val="right" w:pos="10000"/>
        </w:tabs>
        <w:spacing w:after="0"/>
        <w:rPr>
          <w:rFonts w:ascii="Arial" w:hAnsi="Arial" w:cs="Arial"/>
          <w:b/>
          <w:sz w:val="24"/>
          <w:szCs w:val="24"/>
        </w:rPr>
      </w:pPr>
      <w:r w:rsidRPr="00402FC9">
        <w:rPr>
          <w:rFonts w:ascii="Arial" w:hAnsi="Arial" w:cs="Arial"/>
          <w:b/>
          <w:sz w:val="24"/>
          <w:szCs w:val="24"/>
        </w:rPr>
        <w:t>3GPP TSG RAN WG1 Meeting 9</w:t>
      </w:r>
      <w:r w:rsidR="00832378">
        <w:rPr>
          <w:rFonts w:ascii="Arial" w:hAnsi="Arial" w:cs="Arial"/>
          <w:b/>
          <w:sz w:val="24"/>
          <w:szCs w:val="24"/>
        </w:rPr>
        <w:t>1</w:t>
      </w:r>
      <w:r w:rsidR="00C44EE4" w:rsidRPr="000A64D8">
        <w:rPr>
          <w:rFonts w:ascii="Arial" w:hAnsi="Arial" w:cs="Arial"/>
          <w:b/>
          <w:sz w:val="24"/>
          <w:szCs w:val="24"/>
        </w:rPr>
        <w:tab/>
      </w:r>
      <w:r w:rsidR="001F7182">
        <w:rPr>
          <w:rFonts w:ascii="Arial" w:hAnsi="Arial" w:cs="Arial"/>
          <w:b/>
          <w:sz w:val="24"/>
          <w:szCs w:val="24"/>
        </w:rPr>
        <w:t>R1-</w:t>
      </w:r>
      <w:r w:rsidR="00817F7F" w:rsidRPr="00817F7F">
        <w:t xml:space="preserve"> </w:t>
      </w:r>
      <w:r w:rsidR="00817F7F" w:rsidRPr="00817F7F">
        <w:rPr>
          <w:rFonts w:ascii="Arial" w:hAnsi="Arial" w:cs="Arial"/>
          <w:b/>
          <w:sz w:val="24"/>
          <w:szCs w:val="24"/>
        </w:rPr>
        <w:t>1721470</w:t>
      </w:r>
    </w:p>
    <w:p w14:paraId="2E2D9173" w14:textId="288DE725" w:rsidR="00C44EE4" w:rsidRPr="00FF5C85" w:rsidRDefault="00832378" w:rsidP="00C44EE4">
      <w:pPr>
        <w:tabs>
          <w:tab w:val="right" w:pos="9630"/>
        </w:tabs>
        <w:spacing w:after="0"/>
        <w:jc w:val="both"/>
        <w:rPr>
          <w:rFonts w:ascii="Arial" w:hAnsi="Arial" w:cs="Arial"/>
          <w:b/>
          <w:sz w:val="24"/>
          <w:szCs w:val="24"/>
        </w:rPr>
      </w:pPr>
      <w:r>
        <w:rPr>
          <w:rFonts w:ascii="Arial" w:hAnsi="Arial" w:cs="Arial"/>
          <w:b/>
          <w:sz w:val="24"/>
          <w:szCs w:val="24"/>
        </w:rPr>
        <w:t>27</w:t>
      </w:r>
      <w:r w:rsidR="00402FC9" w:rsidRPr="00402FC9">
        <w:rPr>
          <w:rFonts w:ascii="Arial" w:hAnsi="Arial" w:cs="Arial"/>
          <w:b/>
          <w:sz w:val="24"/>
          <w:szCs w:val="24"/>
          <w:vertAlign w:val="superscript"/>
        </w:rPr>
        <w:t>th</w:t>
      </w:r>
      <w:r w:rsidR="00402FC9">
        <w:rPr>
          <w:rFonts w:ascii="Arial" w:hAnsi="Arial" w:cs="Arial"/>
          <w:b/>
          <w:sz w:val="24"/>
          <w:szCs w:val="24"/>
        </w:rPr>
        <w:t xml:space="preserve"> </w:t>
      </w:r>
      <w:r>
        <w:rPr>
          <w:rFonts w:ascii="Arial" w:hAnsi="Arial" w:cs="Arial"/>
          <w:b/>
          <w:sz w:val="24"/>
          <w:szCs w:val="24"/>
        </w:rPr>
        <w:t xml:space="preserve">November </w:t>
      </w:r>
      <w:r w:rsidR="00402FC9">
        <w:rPr>
          <w:rFonts w:ascii="Arial" w:hAnsi="Arial" w:cs="Arial"/>
          <w:b/>
          <w:sz w:val="24"/>
          <w:szCs w:val="24"/>
        </w:rPr>
        <w:t xml:space="preserve">– </w:t>
      </w:r>
      <w:r>
        <w:rPr>
          <w:rFonts w:ascii="Arial" w:hAnsi="Arial" w:cs="Arial"/>
          <w:b/>
          <w:sz w:val="24"/>
          <w:szCs w:val="24"/>
        </w:rPr>
        <w:t>1</w:t>
      </w:r>
      <w:r w:rsidRPr="00832378">
        <w:rPr>
          <w:rFonts w:ascii="Arial" w:hAnsi="Arial" w:cs="Arial"/>
          <w:b/>
          <w:sz w:val="24"/>
          <w:szCs w:val="24"/>
          <w:vertAlign w:val="superscript"/>
        </w:rPr>
        <w:t>st</w:t>
      </w:r>
      <w:r>
        <w:rPr>
          <w:rFonts w:ascii="Arial" w:hAnsi="Arial" w:cs="Arial"/>
          <w:b/>
          <w:sz w:val="24"/>
          <w:szCs w:val="24"/>
        </w:rPr>
        <w:t xml:space="preserve"> December</w:t>
      </w:r>
      <w:r w:rsidR="008231BD" w:rsidRPr="008231BD">
        <w:rPr>
          <w:rFonts w:ascii="Arial" w:hAnsi="Arial" w:cs="Arial"/>
          <w:b/>
          <w:sz w:val="24"/>
          <w:szCs w:val="24"/>
        </w:rPr>
        <w:t xml:space="preserve"> </w:t>
      </w:r>
      <w:r w:rsidR="008231BD">
        <w:rPr>
          <w:rFonts w:ascii="Arial" w:hAnsi="Arial" w:cs="Arial"/>
          <w:b/>
          <w:sz w:val="24"/>
          <w:szCs w:val="24"/>
        </w:rPr>
        <w:t>2017</w:t>
      </w:r>
    </w:p>
    <w:p w14:paraId="2531BDBF" w14:textId="08659822" w:rsidR="00C44EE4" w:rsidRPr="00FF5C85" w:rsidRDefault="00832378" w:rsidP="00C44EE4">
      <w:pPr>
        <w:spacing w:after="0"/>
        <w:jc w:val="both"/>
        <w:rPr>
          <w:rFonts w:ascii="Arial" w:hAnsi="Arial" w:cs="Arial"/>
          <w:b/>
          <w:sz w:val="24"/>
          <w:szCs w:val="24"/>
        </w:rPr>
      </w:pPr>
      <w:r>
        <w:rPr>
          <w:rFonts w:ascii="Arial" w:hAnsi="Arial" w:cs="Arial"/>
          <w:b/>
          <w:sz w:val="24"/>
          <w:szCs w:val="24"/>
        </w:rPr>
        <w:t>Reno</w:t>
      </w:r>
      <w:r w:rsidR="00402FC9">
        <w:rPr>
          <w:rFonts w:ascii="Arial" w:hAnsi="Arial" w:cs="Arial"/>
          <w:b/>
          <w:sz w:val="24"/>
          <w:szCs w:val="24"/>
        </w:rPr>
        <w:t xml:space="preserve">, </w:t>
      </w:r>
      <w:r>
        <w:rPr>
          <w:rFonts w:ascii="Arial" w:hAnsi="Arial" w:cs="Arial"/>
          <w:b/>
          <w:sz w:val="24"/>
          <w:szCs w:val="24"/>
        </w:rPr>
        <w:t>USA</w:t>
      </w:r>
    </w:p>
    <w:p w14:paraId="0049217B" w14:textId="77777777" w:rsidR="00C44EE4" w:rsidRPr="000A64D8" w:rsidRDefault="00C44EE4" w:rsidP="00C44EE4">
      <w:pPr>
        <w:pStyle w:val="Footer"/>
        <w:jc w:val="both"/>
        <w:rPr>
          <w:noProof w:val="0"/>
        </w:rPr>
      </w:pPr>
    </w:p>
    <w:p w14:paraId="10961E0A" w14:textId="6F305BBF"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32378">
        <w:rPr>
          <w:rFonts w:ascii="Arial" w:hAnsi="Arial"/>
          <w:sz w:val="24"/>
        </w:rPr>
        <w:t>7.4.1.1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2E332948"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32378" w:rsidRPr="00832378">
        <w:rPr>
          <w:rFonts w:ascii="Arial" w:hAnsi="Arial"/>
          <w:sz w:val="22"/>
        </w:rPr>
        <w:t>TBS and Base-graph Determination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1A8AC59D" w14:textId="62A5E861" w:rsidR="00402FC9" w:rsidRDefault="004503F9" w:rsidP="00402FC9">
      <w:pPr>
        <w:pStyle w:val="Heading1"/>
      </w:pPr>
      <w:bookmarkStart w:id="2" w:name="_Ref481748349"/>
      <w:r w:rsidRPr="00183CB7">
        <w:t>Introduction</w:t>
      </w:r>
      <w:bookmarkEnd w:id="2"/>
    </w:p>
    <w:p w14:paraId="398857B9" w14:textId="2A5811DA" w:rsidR="00161E1C" w:rsidRDefault="00161E1C" w:rsidP="004C16E7">
      <w:pPr>
        <w:jc w:val="both"/>
        <w:rPr>
          <w:lang w:val="en-GB"/>
        </w:rPr>
      </w:pPr>
      <w:r>
        <w:rPr>
          <w:lang w:val="en-GB"/>
        </w:rPr>
        <w:t xml:space="preserve">The transport block size (TBS), code block size (CBS), base-graph choice, and segmentation are all related items </w:t>
      </w:r>
      <w:r w:rsidR="00E02151">
        <w:rPr>
          <w:lang w:val="en-GB"/>
        </w:rPr>
        <w:t>governed by</w:t>
      </w:r>
      <w:r>
        <w:rPr>
          <w:lang w:val="en-GB"/>
        </w:rPr>
        <w:t xml:space="preserve"> the RAN1 agreements.</w:t>
      </w:r>
      <w:r w:rsidR="008F4949">
        <w:rPr>
          <w:lang w:val="en-GB"/>
        </w:rPr>
        <w:t xml:space="preserve"> These agreements are listed in this section. The agreements are numbered to facilitate referencing.</w:t>
      </w:r>
    </w:p>
    <w:p w14:paraId="264B4958" w14:textId="164B78D3" w:rsidR="00E639DF" w:rsidRDefault="00E639DF" w:rsidP="004C16E7">
      <w:pPr>
        <w:jc w:val="both"/>
        <w:rPr>
          <w:lang w:val="en-GB"/>
        </w:rPr>
      </w:pPr>
      <w:r>
        <w:rPr>
          <w:lang w:val="en-GB"/>
        </w:rPr>
        <w:t xml:space="preserve">It was agreed to have two LDPC base-graphs in NR </w:t>
      </w:r>
      <w:r>
        <w:rPr>
          <w:lang w:val="en-GB"/>
        </w:rPr>
        <w:fldChar w:fldCharType="begin"/>
      </w:r>
      <w:r>
        <w:rPr>
          <w:lang w:val="en-GB"/>
        </w:rPr>
        <w:instrText xml:space="preserve"> REF _Ref498612307 \r \h </w:instrText>
      </w:r>
      <w:r w:rsidR="004C16E7">
        <w:rPr>
          <w:lang w:val="en-GB"/>
        </w:rPr>
        <w:instrText xml:space="preserve"> \* MERGEFORMAT </w:instrText>
      </w:r>
      <w:r>
        <w:rPr>
          <w:lang w:val="en-GB"/>
        </w:rPr>
      </w:r>
      <w:r>
        <w:rPr>
          <w:lang w:val="en-GB"/>
        </w:rPr>
        <w:fldChar w:fldCharType="separate"/>
      </w:r>
      <w:r w:rsidR="001418AE">
        <w:rPr>
          <w:lang w:val="en-GB"/>
        </w:rPr>
        <w:t>[1]</w:t>
      </w:r>
      <w:r>
        <w:rPr>
          <w:lang w:val="en-GB"/>
        </w:rPr>
        <w:fldChar w:fldCharType="end"/>
      </w:r>
      <w:r>
        <w:rPr>
          <w:lang w:val="en-GB"/>
        </w:rPr>
        <w:t>. Base-graph 2 will be used when</w:t>
      </w:r>
      <w:r w:rsidR="00887D9D">
        <w:rPr>
          <w:lang w:val="en-GB"/>
        </w:rPr>
        <w:t>:</w:t>
      </w:r>
      <w:r>
        <w:rPr>
          <w:lang w:val="en-GB"/>
        </w:rPr>
        <w:t xml:space="preserve"> the code block length is </w:t>
      </w:r>
      <w:r w:rsidR="00887D9D">
        <w:rPr>
          <w:lang w:val="en-GB"/>
        </w:rPr>
        <w:t>&lt;= 3840 and the code rate is &lt;= 0.67</w:t>
      </w:r>
      <w:r w:rsidR="00DF0862">
        <w:rPr>
          <w:lang w:val="en-GB"/>
        </w:rPr>
        <w:t xml:space="preserve"> </w:t>
      </w:r>
      <w:r w:rsidR="00DF0862">
        <w:rPr>
          <w:lang w:val="en-GB"/>
        </w:rPr>
        <w:fldChar w:fldCharType="begin"/>
      </w:r>
      <w:r w:rsidR="00DF0862">
        <w:rPr>
          <w:lang w:val="en-GB"/>
        </w:rPr>
        <w:instrText xml:space="preserve"> REF _Ref498612202 \r \h </w:instrText>
      </w:r>
      <w:r w:rsidR="004C16E7">
        <w:rPr>
          <w:lang w:val="en-GB"/>
        </w:rPr>
        <w:instrText xml:space="preserve"> \* MERGEFORMAT </w:instrText>
      </w:r>
      <w:r w:rsidR="00DF0862">
        <w:rPr>
          <w:lang w:val="en-GB"/>
        </w:rPr>
      </w:r>
      <w:r w:rsidR="00DF0862">
        <w:rPr>
          <w:lang w:val="en-GB"/>
        </w:rPr>
        <w:fldChar w:fldCharType="separate"/>
      </w:r>
      <w:r w:rsidR="001418AE">
        <w:rPr>
          <w:lang w:val="en-GB"/>
        </w:rPr>
        <w:t>[3]</w:t>
      </w:r>
      <w:r w:rsidR="00DF0862">
        <w:rPr>
          <w:lang w:val="en-GB"/>
        </w:rPr>
        <w:fldChar w:fldCharType="end"/>
      </w:r>
      <w:r w:rsidR="00887D9D">
        <w:rPr>
          <w:lang w:val="en-GB"/>
        </w:rPr>
        <w:t>, the code block length is &lt;= 308 and all rates</w:t>
      </w:r>
      <w:r w:rsidR="00165E1B">
        <w:rPr>
          <w:lang w:val="en-GB"/>
        </w:rPr>
        <w:t xml:space="preserve"> </w:t>
      </w:r>
      <w:r w:rsidR="00DF0862">
        <w:rPr>
          <w:lang w:val="en-GB"/>
        </w:rPr>
        <w:fldChar w:fldCharType="begin"/>
      </w:r>
      <w:r w:rsidR="00DF0862">
        <w:rPr>
          <w:lang w:val="en-GB"/>
        </w:rPr>
        <w:instrText xml:space="preserve"> REF _Ref498612979 \r \h </w:instrText>
      </w:r>
      <w:r w:rsidR="004C16E7">
        <w:rPr>
          <w:lang w:val="en-GB"/>
        </w:rPr>
        <w:instrText xml:space="preserve"> \* MERGEFORMAT </w:instrText>
      </w:r>
      <w:r w:rsidR="00DF0862">
        <w:rPr>
          <w:lang w:val="en-GB"/>
        </w:rPr>
      </w:r>
      <w:r w:rsidR="00DF0862">
        <w:rPr>
          <w:lang w:val="en-GB"/>
        </w:rPr>
        <w:fldChar w:fldCharType="separate"/>
      </w:r>
      <w:r w:rsidR="001418AE">
        <w:rPr>
          <w:lang w:val="en-GB"/>
        </w:rPr>
        <w:t>[4]</w:t>
      </w:r>
      <w:r w:rsidR="00DF0862">
        <w:rPr>
          <w:lang w:val="en-GB"/>
        </w:rPr>
        <w:fldChar w:fldCharType="end"/>
      </w:r>
      <w:r w:rsidR="00887D9D">
        <w:rPr>
          <w:lang w:val="en-GB"/>
        </w:rPr>
        <w:t xml:space="preserve">, and when the initial transmission rate is &lt;= 0.25 </w:t>
      </w:r>
      <w:r w:rsidR="00887D9D">
        <w:rPr>
          <w:lang w:val="en-GB"/>
        </w:rPr>
        <w:fldChar w:fldCharType="begin"/>
      </w:r>
      <w:r w:rsidR="00887D9D">
        <w:rPr>
          <w:lang w:val="en-GB"/>
        </w:rPr>
        <w:instrText xml:space="preserve"> REF _Ref498612979 \r \h </w:instrText>
      </w:r>
      <w:r w:rsidR="004C16E7">
        <w:rPr>
          <w:lang w:val="en-GB"/>
        </w:rPr>
        <w:instrText xml:space="preserve"> \* MERGEFORMAT </w:instrText>
      </w:r>
      <w:r w:rsidR="00887D9D">
        <w:rPr>
          <w:lang w:val="en-GB"/>
        </w:rPr>
      </w:r>
      <w:r w:rsidR="00887D9D">
        <w:rPr>
          <w:lang w:val="en-GB"/>
        </w:rPr>
        <w:fldChar w:fldCharType="separate"/>
      </w:r>
      <w:r w:rsidR="001418AE">
        <w:rPr>
          <w:lang w:val="en-GB"/>
        </w:rPr>
        <w:t>[4]</w:t>
      </w:r>
      <w:r w:rsidR="00887D9D">
        <w:rPr>
          <w:lang w:val="en-GB"/>
        </w:rPr>
        <w:fldChar w:fldCharType="end"/>
      </w:r>
      <w:r w:rsidR="00887D9D">
        <w:rPr>
          <w:lang w:val="en-GB"/>
        </w:rPr>
        <w:t>. For all other cases, Base-graph 1 is used.</w:t>
      </w:r>
    </w:p>
    <w:p w14:paraId="314988AA" w14:textId="6018F364" w:rsidR="00E639DF" w:rsidRDefault="00E639DF" w:rsidP="004C16E7">
      <w:pPr>
        <w:ind w:left="288"/>
        <w:jc w:val="both"/>
        <w:rPr>
          <w:rFonts w:eastAsia="MS Mincho"/>
          <w:highlight w:val="green"/>
          <w:lang w:eastAsia="ja-JP"/>
        </w:rPr>
      </w:pPr>
      <w:r>
        <w:rPr>
          <w:rFonts w:eastAsia="MS Mincho"/>
          <w:b/>
          <w:highlight w:val="green"/>
          <w:u w:val="single"/>
          <w:lang w:eastAsia="ja-JP"/>
        </w:rPr>
        <w:t>Agreement</w:t>
      </w:r>
      <w:r w:rsidR="008F4949">
        <w:rPr>
          <w:rFonts w:eastAsia="MS Mincho"/>
          <w:b/>
          <w:highlight w:val="green"/>
          <w:u w:val="single"/>
          <w:lang w:eastAsia="ja-JP"/>
        </w:rPr>
        <w:t xml:space="preserve"> 1</w:t>
      </w:r>
      <w:r>
        <w:rPr>
          <w:rFonts w:eastAsia="MS Mincho"/>
          <w:b/>
          <w:highlight w:val="green"/>
          <w:u w:val="single"/>
          <w:lang w:eastAsia="ja-JP"/>
        </w:rPr>
        <w:t>:</w:t>
      </w:r>
    </w:p>
    <w:p w14:paraId="6D0CB779" w14:textId="77777777" w:rsidR="00E639DF" w:rsidRDefault="00E639DF" w:rsidP="00E12BB7">
      <w:pPr>
        <w:numPr>
          <w:ilvl w:val="0"/>
          <w:numId w:val="7"/>
        </w:numPr>
        <w:tabs>
          <w:tab w:val="clear" w:pos="360"/>
          <w:tab w:val="num" w:pos="648"/>
        </w:tabs>
        <w:overflowPunct/>
        <w:autoSpaceDE/>
        <w:autoSpaceDN/>
        <w:adjustRightInd/>
        <w:spacing w:after="0"/>
        <w:ind w:left="648"/>
        <w:jc w:val="both"/>
        <w:textAlignment w:val="auto"/>
        <w:rPr>
          <w:rFonts w:eastAsia="MS Mincho"/>
          <w:lang w:eastAsia="ja-JP"/>
        </w:rPr>
      </w:pPr>
      <w:r>
        <w:rPr>
          <w:rFonts w:eastAsia="MS Mincho"/>
          <w:lang w:eastAsia="ja-JP"/>
        </w:rPr>
        <w:t>Base graph #1 is used for the initial transmission and subsequent re-transmissions of the same TB when</w:t>
      </w:r>
    </w:p>
    <w:p w14:paraId="1BE7955F" w14:textId="77777777" w:rsidR="00E639DF" w:rsidRDefault="00E639DF" w:rsidP="00E12BB7">
      <w:pPr>
        <w:numPr>
          <w:ilvl w:val="1"/>
          <w:numId w:val="7"/>
        </w:numPr>
        <w:tabs>
          <w:tab w:val="clear" w:pos="1080"/>
          <w:tab w:val="num" w:pos="1368"/>
        </w:tabs>
        <w:overflowPunct/>
        <w:autoSpaceDE/>
        <w:autoSpaceDN/>
        <w:adjustRightInd/>
        <w:spacing w:after="0"/>
        <w:ind w:left="1368"/>
        <w:jc w:val="both"/>
        <w:textAlignment w:val="auto"/>
        <w:rPr>
          <w:rFonts w:eastAsia="MS Mincho"/>
          <w:lang w:eastAsia="ja-JP"/>
        </w:rPr>
      </w:pPr>
      <w:r>
        <w:rPr>
          <w:rFonts w:eastAsia="MS Mincho"/>
          <w:lang w:eastAsia="ja-JP"/>
        </w:rPr>
        <w:t>CBS &gt; X or code rate of the initial transmission &gt; Y</w:t>
      </w:r>
    </w:p>
    <w:p w14:paraId="1E5A0D18" w14:textId="77777777" w:rsidR="00E639DF" w:rsidRDefault="00E639DF" w:rsidP="00E12BB7">
      <w:pPr>
        <w:numPr>
          <w:ilvl w:val="0"/>
          <w:numId w:val="7"/>
        </w:numPr>
        <w:tabs>
          <w:tab w:val="clear" w:pos="360"/>
          <w:tab w:val="num" w:pos="648"/>
        </w:tabs>
        <w:overflowPunct/>
        <w:autoSpaceDE/>
        <w:autoSpaceDN/>
        <w:adjustRightInd/>
        <w:spacing w:after="0"/>
        <w:ind w:left="648"/>
        <w:jc w:val="both"/>
        <w:textAlignment w:val="auto"/>
        <w:rPr>
          <w:rFonts w:eastAsia="MS Mincho"/>
          <w:lang w:eastAsia="ja-JP"/>
        </w:rPr>
      </w:pPr>
      <w:r>
        <w:rPr>
          <w:rFonts w:eastAsia="MS Mincho"/>
          <w:lang w:eastAsia="ja-JP"/>
        </w:rPr>
        <w:t>Base graph #2 is used for the initial transmission and subsequent re-transmissions of the same TB when</w:t>
      </w:r>
    </w:p>
    <w:p w14:paraId="7FB5124E" w14:textId="77777777" w:rsidR="00E639DF" w:rsidRDefault="00E639DF" w:rsidP="00E12BB7">
      <w:pPr>
        <w:numPr>
          <w:ilvl w:val="1"/>
          <w:numId w:val="7"/>
        </w:numPr>
        <w:tabs>
          <w:tab w:val="clear" w:pos="1080"/>
          <w:tab w:val="num" w:pos="1368"/>
        </w:tabs>
        <w:overflowPunct/>
        <w:autoSpaceDE/>
        <w:autoSpaceDN/>
        <w:adjustRightInd/>
        <w:spacing w:after="0"/>
        <w:ind w:left="1368"/>
        <w:jc w:val="both"/>
        <w:textAlignment w:val="auto"/>
        <w:rPr>
          <w:rFonts w:eastAsia="MS Mincho"/>
          <w:lang w:eastAsia="ja-JP"/>
        </w:rPr>
      </w:pPr>
      <w:r>
        <w:rPr>
          <w:rFonts w:eastAsia="MS Mincho"/>
          <w:lang w:eastAsia="ja-JP"/>
        </w:rPr>
        <w:t>CBS &lt;= X and code rate of the initial transmission &lt;= Y</w:t>
      </w:r>
    </w:p>
    <w:p w14:paraId="13F4829E" w14:textId="77777777" w:rsidR="00887D9D" w:rsidRDefault="00887D9D" w:rsidP="004C16E7">
      <w:pPr>
        <w:jc w:val="both"/>
        <w:rPr>
          <w:rFonts w:eastAsia="MS Mincho"/>
          <w:b/>
          <w:highlight w:val="green"/>
          <w:u w:val="single"/>
          <w:lang w:eastAsia="ja-JP"/>
        </w:rPr>
      </w:pPr>
    </w:p>
    <w:p w14:paraId="22A5D5B8" w14:textId="50D3FCD6" w:rsidR="00887D9D" w:rsidRPr="00887D9D" w:rsidRDefault="00887D9D" w:rsidP="004C16E7">
      <w:pPr>
        <w:ind w:left="288"/>
        <w:jc w:val="both"/>
        <w:rPr>
          <w:rFonts w:eastAsia="MS Mincho"/>
          <w:b/>
          <w:highlight w:val="green"/>
          <w:u w:val="single"/>
          <w:lang w:eastAsia="ja-JP"/>
        </w:rPr>
      </w:pPr>
      <w:r w:rsidRPr="00887D9D">
        <w:rPr>
          <w:rFonts w:eastAsia="MS Mincho"/>
          <w:b/>
          <w:highlight w:val="green"/>
          <w:u w:val="single"/>
          <w:lang w:eastAsia="ja-JP"/>
        </w:rPr>
        <w:t>Agreement</w:t>
      </w:r>
      <w:r w:rsidR="008F4949">
        <w:rPr>
          <w:rFonts w:eastAsia="MS Mincho"/>
          <w:b/>
          <w:highlight w:val="green"/>
          <w:u w:val="single"/>
          <w:lang w:eastAsia="ja-JP"/>
        </w:rPr>
        <w:t xml:space="preserve"> 2</w:t>
      </w:r>
      <w:r w:rsidRPr="00887D9D">
        <w:rPr>
          <w:rFonts w:eastAsia="MS Mincho"/>
          <w:b/>
          <w:highlight w:val="green"/>
          <w:u w:val="single"/>
          <w:lang w:eastAsia="ja-JP"/>
        </w:rPr>
        <w:t xml:space="preserve">: </w:t>
      </w:r>
    </w:p>
    <w:p w14:paraId="4F04B6D4" w14:textId="77777777" w:rsidR="00887D9D" w:rsidRPr="00887D9D" w:rsidRDefault="00887D9D" w:rsidP="00E12BB7">
      <w:pPr>
        <w:pStyle w:val="ListParagraph"/>
        <w:numPr>
          <w:ilvl w:val="0"/>
          <w:numId w:val="7"/>
        </w:numPr>
        <w:tabs>
          <w:tab w:val="clear" w:pos="360"/>
          <w:tab w:val="num" w:pos="648"/>
        </w:tabs>
        <w:ind w:left="648"/>
        <w:jc w:val="both"/>
        <w:rPr>
          <w:rFonts w:eastAsia="MS Mincho"/>
          <w:lang w:eastAsia="ja-JP"/>
        </w:rPr>
      </w:pPr>
      <w:r w:rsidRPr="00887D9D">
        <w:rPr>
          <w:rFonts w:eastAsia="MS Mincho"/>
          <w:lang w:eastAsia="ja-JP"/>
        </w:rPr>
        <w:t>X=3840</w:t>
      </w:r>
    </w:p>
    <w:p w14:paraId="02E6CBB2" w14:textId="77777777" w:rsidR="00887D9D" w:rsidRPr="00887D9D" w:rsidRDefault="00887D9D" w:rsidP="00E12BB7">
      <w:pPr>
        <w:pStyle w:val="ListParagraph"/>
        <w:numPr>
          <w:ilvl w:val="0"/>
          <w:numId w:val="7"/>
        </w:numPr>
        <w:tabs>
          <w:tab w:val="clear" w:pos="360"/>
          <w:tab w:val="num" w:pos="648"/>
        </w:tabs>
        <w:ind w:left="648"/>
        <w:jc w:val="both"/>
        <w:rPr>
          <w:rFonts w:eastAsia="MS Mincho"/>
          <w:lang w:eastAsia="ja-JP"/>
        </w:rPr>
      </w:pPr>
      <w:r w:rsidRPr="00887D9D">
        <w:rPr>
          <w:rFonts w:eastAsia="MS Mincho"/>
          <w:lang w:eastAsia="ja-JP"/>
        </w:rPr>
        <w:t>Y=0.67</w:t>
      </w:r>
    </w:p>
    <w:p w14:paraId="11C8DEA1" w14:textId="73202028" w:rsidR="00E639DF" w:rsidRDefault="00E639DF" w:rsidP="004C16E7">
      <w:pPr>
        <w:jc w:val="both"/>
        <w:rPr>
          <w:lang w:val="en-GB"/>
        </w:rPr>
      </w:pPr>
    </w:p>
    <w:p w14:paraId="7CD8E729" w14:textId="5117487B" w:rsidR="00887D9D" w:rsidRPr="007B0434" w:rsidRDefault="00887D9D" w:rsidP="004C16E7">
      <w:pPr>
        <w:ind w:left="288"/>
        <w:jc w:val="both"/>
        <w:rPr>
          <w:rFonts w:eastAsia="MS Mincho"/>
          <w:b/>
          <w:highlight w:val="green"/>
          <w:u w:val="single"/>
          <w:lang w:eastAsia="ja-JP"/>
        </w:rPr>
      </w:pPr>
      <w:r w:rsidRPr="007B0434">
        <w:rPr>
          <w:rFonts w:eastAsia="MS Mincho"/>
          <w:b/>
          <w:highlight w:val="green"/>
          <w:u w:val="single"/>
          <w:lang w:eastAsia="ja-JP"/>
        </w:rPr>
        <w:t>Agreement</w:t>
      </w:r>
      <w:r w:rsidR="008F4949">
        <w:rPr>
          <w:rFonts w:eastAsia="MS Mincho"/>
          <w:b/>
          <w:highlight w:val="green"/>
          <w:u w:val="single"/>
          <w:lang w:eastAsia="ja-JP"/>
        </w:rPr>
        <w:t xml:space="preserve"> 3</w:t>
      </w:r>
      <w:r w:rsidRPr="007B0434">
        <w:rPr>
          <w:rFonts w:eastAsia="MS Mincho"/>
          <w:b/>
          <w:highlight w:val="green"/>
          <w:u w:val="single"/>
          <w:lang w:eastAsia="ja-JP"/>
        </w:rPr>
        <w:t xml:space="preserve">: </w:t>
      </w:r>
    </w:p>
    <w:p w14:paraId="2829138C" w14:textId="77777777" w:rsidR="00887D9D" w:rsidRPr="007B0434" w:rsidRDefault="00887D9D" w:rsidP="004C16E7">
      <w:pPr>
        <w:ind w:left="288"/>
        <w:jc w:val="both"/>
      </w:pPr>
      <w:r>
        <w:t>For block lengths</w:t>
      </w:r>
      <w:r w:rsidRPr="007B0434">
        <w:rPr>
          <w:rFonts w:hint="eastAsia"/>
        </w:rPr>
        <w:t xml:space="preserve"> </w:t>
      </w:r>
      <w:r w:rsidRPr="00DD6443">
        <w:rPr>
          <w:rFonts w:hint="eastAsia"/>
        </w:rPr>
        <w:t>K</w:t>
      </w:r>
      <w:r w:rsidRPr="00DD6443">
        <w:rPr>
          <w:rFonts w:hint="eastAsia"/>
        </w:rPr>
        <w:t>≤</w:t>
      </w:r>
      <w:r w:rsidRPr="00DD6443">
        <w:rPr>
          <w:rFonts w:hint="eastAsia"/>
        </w:rPr>
        <w:t>308</w:t>
      </w:r>
      <w:r>
        <w:t>:</w:t>
      </w:r>
    </w:p>
    <w:p w14:paraId="4ADF9AE1" w14:textId="5B3F063B" w:rsidR="00887D9D" w:rsidRDefault="00887D9D" w:rsidP="00E12BB7">
      <w:pPr>
        <w:numPr>
          <w:ilvl w:val="0"/>
          <w:numId w:val="5"/>
        </w:numPr>
        <w:overflowPunct/>
        <w:autoSpaceDE/>
        <w:autoSpaceDN/>
        <w:adjustRightInd/>
        <w:spacing w:after="0"/>
        <w:ind w:left="1368"/>
        <w:jc w:val="both"/>
        <w:textAlignment w:val="auto"/>
      </w:pPr>
      <w:r>
        <w:t>BG2 is used for all code rates</w:t>
      </w:r>
    </w:p>
    <w:p w14:paraId="13D627A3" w14:textId="77777777" w:rsidR="00887D9D" w:rsidRDefault="00887D9D" w:rsidP="004C16E7">
      <w:pPr>
        <w:jc w:val="both"/>
        <w:rPr>
          <w:rFonts w:eastAsia="MS Mincho"/>
          <w:b/>
          <w:highlight w:val="green"/>
          <w:u w:val="single"/>
          <w:lang w:eastAsia="ja-JP"/>
        </w:rPr>
      </w:pPr>
    </w:p>
    <w:p w14:paraId="6F0919A4" w14:textId="60A0B269" w:rsidR="00887D9D" w:rsidRPr="008B39A7" w:rsidRDefault="00887D9D" w:rsidP="004C16E7">
      <w:pPr>
        <w:ind w:left="288"/>
        <w:jc w:val="both"/>
        <w:rPr>
          <w:rFonts w:eastAsia="MS Mincho"/>
          <w:b/>
          <w:highlight w:val="green"/>
          <w:u w:val="single"/>
          <w:lang w:eastAsia="ja-JP"/>
        </w:rPr>
      </w:pPr>
      <w:r w:rsidRPr="008B39A7">
        <w:rPr>
          <w:rFonts w:eastAsia="MS Mincho"/>
          <w:b/>
          <w:highlight w:val="green"/>
          <w:u w:val="single"/>
          <w:lang w:eastAsia="ja-JP"/>
        </w:rPr>
        <w:t>Agreement</w:t>
      </w:r>
      <w:r w:rsidR="008F4949">
        <w:rPr>
          <w:rFonts w:eastAsia="MS Mincho"/>
          <w:b/>
          <w:highlight w:val="green"/>
          <w:u w:val="single"/>
          <w:lang w:eastAsia="ja-JP"/>
        </w:rPr>
        <w:t xml:space="preserve"> 4</w:t>
      </w:r>
      <w:r w:rsidRPr="008B39A7">
        <w:rPr>
          <w:rFonts w:eastAsia="MS Mincho"/>
          <w:b/>
          <w:highlight w:val="green"/>
          <w:u w:val="single"/>
          <w:lang w:eastAsia="ja-JP"/>
        </w:rPr>
        <w:t xml:space="preserve">: </w:t>
      </w:r>
    </w:p>
    <w:p w14:paraId="1753FCF5" w14:textId="77777777" w:rsidR="00887D9D" w:rsidRPr="00F81274" w:rsidRDefault="00887D9D" w:rsidP="00E12BB7">
      <w:pPr>
        <w:numPr>
          <w:ilvl w:val="0"/>
          <w:numId w:val="9"/>
        </w:numPr>
        <w:tabs>
          <w:tab w:val="clear" w:pos="720"/>
          <w:tab w:val="num" w:pos="1008"/>
        </w:tabs>
        <w:overflowPunct/>
        <w:autoSpaceDE/>
        <w:autoSpaceDN/>
        <w:adjustRightInd/>
        <w:spacing w:after="0"/>
        <w:ind w:left="1008"/>
        <w:jc w:val="both"/>
        <w:textAlignment w:val="auto"/>
        <w:rPr>
          <w:rFonts w:eastAsia="MS Mincho"/>
          <w:lang w:eastAsia="ja-JP"/>
        </w:rPr>
      </w:pPr>
      <w:r w:rsidRPr="00F81274">
        <w:rPr>
          <w:rFonts w:eastAsia="MS Mincho"/>
          <w:lang w:eastAsia="ja-JP"/>
        </w:rPr>
        <w:t xml:space="preserve">For initial transmissions with code rate </w:t>
      </w:r>
      <w:r>
        <w:rPr>
          <w:rFonts w:eastAsia="MS Mincho"/>
          <w:lang w:eastAsia="ja-JP"/>
        </w:rPr>
        <w:t>R</w:t>
      </w:r>
      <w:r>
        <w:rPr>
          <w:rFonts w:eastAsia="MS Mincho"/>
          <w:vertAlign w:val="subscript"/>
          <w:lang w:eastAsia="ja-JP"/>
        </w:rPr>
        <w:t>init</w:t>
      </w:r>
      <w:r w:rsidRPr="00F81274">
        <w:rPr>
          <w:rFonts w:eastAsia="MS Mincho"/>
          <w:lang w:eastAsia="ja-JP"/>
        </w:rPr>
        <w:t xml:space="preserve"> &gt; 1/4, BG2 is not used when TBS&gt;3824 </w:t>
      </w:r>
    </w:p>
    <w:p w14:paraId="0C1BF882" w14:textId="77777777" w:rsidR="00887D9D" w:rsidRPr="004F3F28" w:rsidRDefault="00887D9D" w:rsidP="00E12BB7">
      <w:pPr>
        <w:numPr>
          <w:ilvl w:val="1"/>
          <w:numId w:val="9"/>
        </w:numPr>
        <w:tabs>
          <w:tab w:val="clear" w:pos="1440"/>
          <w:tab w:val="num" w:pos="1728"/>
        </w:tabs>
        <w:overflowPunct/>
        <w:autoSpaceDE/>
        <w:autoSpaceDN/>
        <w:adjustRightInd/>
        <w:spacing w:after="0"/>
        <w:ind w:left="1728"/>
        <w:jc w:val="both"/>
        <w:textAlignment w:val="auto"/>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28193ADE" w14:textId="77777777" w:rsidR="00887D9D" w:rsidRPr="000115C2" w:rsidRDefault="00887D9D" w:rsidP="00E12BB7">
      <w:pPr>
        <w:numPr>
          <w:ilvl w:val="0"/>
          <w:numId w:val="9"/>
        </w:numPr>
        <w:tabs>
          <w:tab w:val="clear" w:pos="720"/>
          <w:tab w:val="num" w:pos="1008"/>
        </w:tabs>
        <w:overflowPunct/>
        <w:autoSpaceDE/>
        <w:autoSpaceDN/>
        <w:adjustRightInd/>
        <w:spacing w:after="0"/>
        <w:ind w:left="1008"/>
        <w:jc w:val="both"/>
        <w:textAlignment w:val="auto"/>
        <w:rPr>
          <w:rFonts w:eastAsia="MS Mincho"/>
          <w:lang w:eastAsia="ja-JP"/>
        </w:rPr>
      </w:pPr>
      <w:r w:rsidRPr="004F3F28">
        <w:rPr>
          <w:rFonts w:eastAsia="MS Mincho"/>
          <w:lang w:eastAsia="ja-JP"/>
        </w:rPr>
        <w:t>BG2 is used for initial transmission</w:t>
      </w:r>
      <w:r>
        <w:rPr>
          <w:rFonts w:eastAsia="MS Mincho"/>
          <w:lang w:eastAsia="ja-JP"/>
        </w:rPr>
        <w:t>s</w:t>
      </w:r>
      <w:r w:rsidRPr="004F3F28">
        <w:rPr>
          <w:rFonts w:eastAsia="MS Mincho"/>
          <w:lang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eastAsia="ja-JP"/>
        </w:rPr>
        <w:t xml:space="preserve"> &lt;= </w:t>
      </w:r>
      <w:r>
        <w:rPr>
          <w:rFonts w:eastAsia="MS Mincho"/>
          <w:lang w:eastAsia="ja-JP"/>
        </w:rPr>
        <w:t>¼</w:t>
      </w:r>
      <w:r w:rsidRPr="004F3F28">
        <w:rPr>
          <w:rFonts w:eastAsia="MS Mincho"/>
          <w:lang w:eastAsia="ja-JP"/>
        </w:rPr>
        <w:t xml:space="preserve"> for all TBS supported at that code rate</w:t>
      </w:r>
    </w:p>
    <w:p w14:paraId="6AF40D7E" w14:textId="77777777" w:rsidR="00887D9D" w:rsidRDefault="00887D9D" w:rsidP="00E12BB7">
      <w:pPr>
        <w:numPr>
          <w:ilvl w:val="1"/>
          <w:numId w:val="9"/>
        </w:numPr>
        <w:tabs>
          <w:tab w:val="clear" w:pos="1440"/>
          <w:tab w:val="num" w:pos="1728"/>
        </w:tabs>
        <w:overflowPunct/>
        <w:autoSpaceDE/>
        <w:autoSpaceDN/>
        <w:adjustRightInd/>
        <w:spacing w:after="0"/>
        <w:ind w:left="1728"/>
        <w:jc w:val="both"/>
        <w:textAlignment w:val="auto"/>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1BDEE92A" w14:textId="77777777" w:rsidR="00887D9D" w:rsidRDefault="00887D9D" w:rsidP="004C16E7">
      <w:pPr>
        <w:overflowPunct/>
        <w:autoSpaceDE/>
        <w:autoSpaceDN/>
        <w:adjustRightInd/>
        <w:spacing w:after="0"/>
        <w:jc w:val="both"/>
        <w:textAlignment w:val="auto"/>
      </w:pPr>
    </w:p>
    <w:p w14:paraId="327E9C30" w14:textId="77777777" w:rsidR="00887D9D" w:rsidRDefault="00887D9D" w:rsidP="004C16E7">
      <w:pPr>
        <w:jc w:val="both"/>
        <w:rPr>
          <w:lang w:val="en-GB"/>
        </w:rPr>
      </w:pPr>
    </w:p>
    <w:p w14:paraId="75CEE44F" w14:textId="1D9C8F7A" w:rsidR="00DD21B6" w:rsidRDefault="00B10B48" w:rsidP="004C16E7">
      <w:pPr>
        <w:jc w:val="both"/>
        <w:rPr>
          <w:lang w:val="en-GB"/>
        </w:rPr>
      </w:pPr>
      <w:r>
        <w:rPr>
          <w:lang w:val="en-GB"/>
        </w:rPr>
        <w:t xml:space="preserve">The </w:t>
      </w:r>
      <w:r w:rsidR="009D68E2">
        <w:rPr>
          <w:lang w:val="en-GB"/>
        </w:rPr>
        <w:t>length of the TB-level CRC was agreed to be L</w:t>
      </w:r>
      <w:r w:rsidR="009D68E2" w:rsidRPr="009D68E2">
        <w:rPr>
          <w:vertAlign w:val="subscript"/>
          <w:lang w:val="en-GB"/>
        </w:rPr>
        <w:t>TB,CRC</w:t>
      </w:r>
      <w:r w:rsidR="009D68E2">
        <w:rPr>
          <w:lang w:val="en-GB"/>
        </w:rPr>
        <w:t xml:space="preserve">=24 bits for large TBs </w:t>
      </w:r>
      <w:r w:rsidR="00E639DF">
        <w:rPr>
          <w:lang w:val="en-GB"/>
        </w:rPr>
        <w:fldChar w:fldCharType="begin"/>
      </w:r>
      <w:r w:rsidR="00E639DF">
        <w:rPr>
          <w:lang w:val="en-GB"/>
        </w:rPr>
        <w:instrText xml:space="preserve"> REF _Ref498612275 \r \h </w:instrText>
      </w:r>
      <w:r w:rsidR="004C16E7">
        <w:rPr>
          <w:lang w:val="en-GB"/>
        </w:rPr>
        <w:instrText xml:space="preserve"> \* MERGEFORMAT </w:instrText>
      </w:r>
      <w:r w:rsidR="00E639DF">
        <w:rPr>
          <w:lang w:val="en-GB"/>
        </w:rPr>
      </w:r>
      <w:r w:rsidR="00E639DF">
        <w:rPr>
          <w:lang w:val="en-GB"/>
        </w:rPr>
        <w:fldChar w:fldCharType="separate"/>
      </w:r>
      <w:r w:rsidR="001418AE">
        <w:rPr>
          <w:lang w:val="en-GB"/>
        </w:rPr>
        <w:t>[2]</w:t>
      </w:r>
      <w:r w:rsidR="00E639DF">
        <w:rPr>
          <w:lang w:val="en-GB"/>
        </w:rPr>
        <w:fldChar w:fldCharType="end"/>
      </w:r>
      <w:r w:rsidR="009D68E2">
        <w:rPr>
          <w:lang w:val="en-GB"/>
        </w:rPr>
        <w:t xml:space="preserve"> and 16 bits for TBs of length 3824 bits or less </w:t>
      </w:r>
      <w:r w:rsidR="009D68E2">
        <w:rPr>
          <w:lang w:val="en-GB"/>
        </w:rPr>
        <w:fldChar w:fldCharType="begin"/>
      </w:r>
      <w:r w:rsidR="009D68E2">
        <w:rPr>
          <w:lang w:val="en-GB"/>
        </w:rPr>
        <w:instrText xml:space="preserve"> REF _Ref498611339 \r \h </w:instrText>
      </w:r>
      <w:r w:rsidR="004C16E7">
        <w:rPr>
          <w:lang w:val="en-GB"/>
        </w:rPr>
        <w:instrText xml:space="preserve"> \* MERGEFORMAT </w:instrText>
      </w:r>
      <w:r w:rsidR="009D68E2">
        <w:rPr>
          <w:lang w:val="en-GB"/>
        </w:rPr>
      </w:r>
      <w:r w:rsidR="009D68E2">
        <w:rPr>
          <w:lang w:val="en-GB"/>
        </w:rPr>
        <w:fldChar w:fldCharType="separate"/>
      </w:r>
      <w:r w:rsidR="001418AE">
        <w:rPr>
          <w:lang w:val="en-GB"/>
        </w:rPr>
        <w:t>[3]</w:t>
      </w:r>
      <w:r w:rsidR="009D68E2">
        <w:rPr>
          <w:lang w:val="en-GB"/>
        </w:rPr>
        <w:fldChar w:fldCharType="end"/>
      </w:r>
      <w:r w:rsidR="009D68E2">
        <w:rPr>
          <w:lang w:val="en-GB"/>
        </w:rPr>
        <w:t>:</w:t>
      </w:r>
    </w:p>
    <w:p w14:paraId="31FB8BB6" w14:textId="212B24AE" w:rsidR="009D68E2" w:rsidRDefault="009D68E2" w:rsidP="004C16E7">
      <w:pPr>
        <w:ind w:left="288"/>
        <w:jc w:val="both"/>
        <w:rPr>
          <w:rFonts w:eastAsia="MS Mincho"/>
          <w:b/>
          <w:highlight w:val="green"/>
          <w:u w:val="single"/>
          <w:lang w:eastAsia="ja-JP"/>
        </w:rPr>
      </w:pPr>
      <w:r>
        <w:rPr>
          <w:rFonts w:eastAsia="MS Mincho"/>
          <w:b/>
          <w:highlight w:val="green"/>
          <w:u w:val="single"/>
          <w:lang w:eastAsia="ja-JP"/>
        </w:rPr>
        <w:t>Agreement</w:t>
      </w:r>
      <w:r w:rsidR="008F4949">
        <w:rPr>
          <w:rFonts w:eastAsia="MS Mincho"/>
          <w:b/>
          <w:highlight w:val="green"/>
          <w:u w:val="single"/>
          <w:lang w:eastAsia="ja-JP"/>
        </w:rPr>
        <w:t xml:space="preserve"> 5</w:t>
      </w:r>
      <w:r>
        <w:rPr>
          <w:rFonts w:eastAsia="MS Mincho"/>
          <w:b/>
          <w:highlight w:val="green"/>
          <w:u w:val="single"/>
          <w:lang w:eastAsia="ja-JP"/>
        </w:rPr>
        <w:t>:</w:t>
      </w:r>
    </w:p>
    <w:p w14:paraId="1A2B84A9" w14:textId="40A4D89F" w:rsidR="009D68E2" w:rsidRDefault="009D68E2" w:rsidP="00E12BB7">
      <w:pPr>
        <w:numPr>
          <w:ilvl w:val="0"/>
          <w:numId w:val="6"/>
        </w:numPr>
        <w:tabs>
          <w:tab w:val="clear" w:pos="720"/>
          <w:tab w:val="num" w:pos="1008"/>
        </w:tabs>
        <w:overflowPunct/>
        <w:autoSpaceDE/>
        <w:autoSpaceDN/>
        <w:adjustRightInd/>
        <w:spacing w:after="0"/>
        <w:ind w:left="1008"/>
        <w:jc w:val="both"/>
        <w:textAlignment w:val="auto"/>
        <w:rPr>
          <w:rFonts w:eastAsia="MS Mincho"/>
          <w:lang w:eastAsia="ja-JP"/>
        </w:rPr>
      </w:pPr>
      <w:r>
        <w:rPr>
          <w:rFonts w:eastAsia="MS Mincho"/>
          <w:lang w:eastAsia="ja-JP"/>
        </w:rPr>
        <w:lastRenderedPageBreak/>
        <w:t>Number of bits for TB-level CRC is: L</w:t>
      </w:r>
      <w:r>
        <w:rPr>
          <w:rFonts w:eastAsia="MS Mincho"/>
          <w:vertAlign w:val="subscript"/>
          <w:lang w:eastAsia="ja-JP"/>
        </w:rPr>
        <w:t xml:space="preserve">TB,CRC </w:t>
      </w:r>
      <w:r>
        <w:rPr>
          <w:rFonts w:eastAsia="MS Mincho"/>
          <w:lang w:eastAsia="ja-JP"/>
        </w:rPr>
        <w:t>=24 bits, at least for TBs larger than a threshold (e.g. around 512 bits)</w:t>
      </w:r>
    </w:p>
    <w:p w14:paraId="74F9832B" w14:textId="77777777" w:rsidR="00E639DF" w:rsidRDefault="00E639DF" w:rsidP="004C16E7">
      <w:pPr>
        <w:ind w:left="288"/>
        <w:jc w:val="both"/>
        <w:rPr>
          <w:rFonts w:eastAsia="MS Mincho"/>
          <w:b/>
          <w:highlight w:val="green"/>
          <w:u w:val="single"/>
          <w:lang w:eastAsia="ja-JP"/>
        </w:rPr>
      </w:pPr>
    </w:p>
    <w:p w14:paraId="7CD9A01D" w14:textId="3D6F150B" w:rsidR="00E639DF" w:rsidRDefault="00E639DF" w:rsidP="004C16E7">
      <w:pPr>
        <w:ind w:left="288"/>
        <w:jc w:val="both"/>
        <w:rPr>
          <w:rFonts w:eastAsia="MS Mincho"/>
          <w:b/>
          <w:highlight w:val="green"/>
          <w:u w:val="single"/>
          <w:lang w:eastAsia="ja-JP"/>
        </w:rPr>
      </w:pPr>
      <w:r>
        <w:rPr>
          <w:rFonts w:eastAsia="MS Mincho"/>
          <w:b/>
          <w:highlight w:val="green"/>
          <w:u w:val="single"/>
          <w:lang w:eastAsia="ja-JP"/>
        </w:rPr>
        <w:t>Agreement</w:t>
      </w:r>
      <w:r w:rsidR="008F4949">
        <w:rPr>
          <w:rFonts w:eastAsia="MS Mincho"/>
          <w:b/>
          <w:highlight w:val="green"/>
          <w:u w:val="single"/>
          <w:lang w:eastAsia="ja-JP"/>
        </w:rPr>
        <w:t xml:space="preserve"> 6</w:t>
      </w:r>
      <w:r>
        <w:rPr>
          <w:rFonts w:eastAsia="MS Mincho"/>
          <w:b/>
          <w:highlight w:val="green"/>
          <w:u w:val="single"/>
          <w:lang w:eastAsia="ja-JP"/>
        </w:rPr>
        <w:t xml:space="preserve">: </w:t>
      </w:r>
    </w:p>
    <w:p w14:paraId="43E07418" w14:textId="77777777" w:rsidR="00E639DF" w:rsidRDefault="00E639DF" w:rsidP="00E12BB7">
      <w:pPr>
        <w:numPr>
          <w:ilvl w:val="0"/>
          <w:numId w:val="8"/>
        </w:numPr>
        <w:tabs>
          <w:tab w:val="left" w:pos="720"/>
          <w:tab w:val="left" w:pos="1440"/>
        </w:tabs>
        <w:overflowPunct/>
        <w:autoSpaceDE/>
        <w:autoSpaceDN/>
        <w:adjustRightInd/>
        <w:spacing w:after="0"/>
        <w:ind w:left="1008"/>
        <w:jc w:val="both"/>
        <w:textAlignment w:val="auto"/>
        <w:rPr>
          <w:rFonts w:eastAsia="MS Mincho"/>
          <w:lang w:eastAsia="ja-JP"/>
        </w:rPr>
      </w:pPr>
      <w:r>
        <w:rPr>
          <w:rFonts w:eastAsia="MS Mincho"/>
          <w:lang w:eastAsia="ja-JP"/>
        </w:rPr>
        <w:t>L</w:t>
      </w:r>
      <w:r>
        <w:rPr>
          <w:rFonts w:eastAsia="MS Mincho"/>
          <w:vertAlign w:val="subscript"/>
          <w:lang w:eastAsia="ja-JP"/>
        </w:rPr>
        <w:t xml:space="preserve">TB-CRC </w:t>
      </w:r>
      <w:r>
        <w:rPr>
          <w:rFonts w:eastAsia="MS Mincho"/>
          <w:lang w:eastAsia="ja-JP"/>
        </w:rPr>
        <w:t xml:space="preserve">= 16 for TBs smaller than or equal to 3824 bits </w:t>
      </w:r>
    </w:p>
    <w:p w14:paraId="7BF1518D" w14:textId="4AB60F6F" w:rsidR="009D68E2" w:rsidRDefault="009D68E2" w:rsidP="004C16E7">
      <w:pPr>
        <w:jc w:val="both"/>
        <w:rPr>
          <w:lang w:val="en-GB"/>
        </w:rPr>
      </w:pPr>
    </w:p>
    <w:p w14:paraId="457B032B" w14:textId="042E2138" w:rsidR="009D68E2" w:rsidRDefault="009D68E2" w:rsidP="004C16E7">
      <w:pPr>
        <w:jc w:val="both"/>
        <w:rPr>
          <w:lang w:val="en-GB"/>
        </w:rPr>
      </w:pPr>
      <w:r>
        <w:rPr>
          <w:lang w:val="en-GB"/>
        </w:rPr>
        <w:t>A TB larger than the maximum code block length (K</w:t>
      </w:r>
      <w:r w:rsidRPr="009D68E2">
        <w:rPr>
          <w:vertAlign w:val="subscript"/>
          <w:lang w:val="en-GB"/>
        </w:rPr>
        <w:t>CB</w:t>
      </w:r>
      <w:r>
        <w:rPr>
          <w:lang w:val="en-GB"/>
        </w:rPr>
        <w:t>) – L</w:t>
      </w:r>
      <w:r w:rsidRPr="009D68E2">
        <w:rPr>
          <w:vertAlign w:val="subscript"/>
          <w:lang w:val="en-GB"/>
        </w:rPr>
        <w:t>TB,CRC</w:t>
      </w:r>
      <w:r>
        <w:rPr>
          <w:lang w:val="en-GB"/>
        </w:rPr>
        <w:t xml:space="preserve"> is segmented into multiple code</w:t>
      </w:r>
      <w:r w:rsidR="00E639DF">
        <w:rPr>
          <w:lang w:val="en-GB"/>
        </w:rPr>
        <w:t xml:space="preserve"> </w:t>
      </w:r>
      <w:r>
        <w:rPr>
          <w:lang w:val="en-GB"/>
        </w:rPr>
        <w:t>b</w:t>
      </w:r>
      <w:r w:rsidR="00E639DF">
        <w:rPr>
          <w:lang w:val="en-GB"/>
        </w:rPr>
        <w:t>l</w:t>
      </w:r>
      <w:r>
        <w:rPr>
          <w:lang w:val="en-GB"/>
        </w:rPr>
        <w:t xml:space="preserve">ocks </w:t>
      </w:r>
      <w:r w:rsidR="00E639DF">
        <w:rPr>
          <w:lang w:val="en-GB"/>
        </w:rPr>
        <w:fldChar w:fldCharType="begin"/>
      </w:r>
      <w:r w:rsidR="00E639DF">
        <w:rPr>
          <w:lang w:val="en-GB"/>
        </w:rPr>
        <w:instrText xml:space="preserve"> REF _Ref498612275 \r \h </w:instrText>
      </w:r>
      <w:r w:rsidR="004C16E7">
        <w:rPr>
          <w:lang w:val="en-GB"/>
        </w:rPr>
        <w:instrText xml:space="preserve"> \* MERGEFORMAT </w:instrText>
      </w:r>
      <w:r w:rsidR="00E639DF">
        <w:rPr>
          <w:lang w:val="en-GB"/>
        </w:rPr>
      </w:r>
      <w:r w:rsidR="00E639DF">
        <w:rPr>
          <w:lang w:val="en-GB"/>
        </w:rPr>
        <w:fldChar w:fldCharType="separate"/>
      </w:r>
      <w:r w:rsidR="001418AE">
        <w:rPr>
          <w:lang w:val="en-GB"/>
        </w:rPr>
        <w:t>[2]</w:t>
      </w:r>
      <w:r w:rsidR="00E639DF">
        <w:rPr>
          <w:lang w:val="en-GB"/>
        </w:rPr>
        <w:fldChar w:fldCharType="end"/>
      </w:r>
      <w:r>
        <w:rPr>
          <w:lang w:val="en-GB"/>
        </w:rPr>
        <w:t>, with each CB having a CRC of length L</w:t>
      </w:r>
      <w:r w:rsidRPr="009D68E2">
        <w:rPr>
          <w:vertAlign w:val="subscript"/>
          <w:lang w:val="en-GB"/>
        </w:rPr>
        <w:t>CB,CRC</w:t>
      </w:r>
      <w:r>
        <w:rPr>
          <w:lang w:val="en-GB"/>
        </w:rPr>
        <w:t>=24 bits</w:t>
      </w:r>
      <w:r w:rsidR="00DF0862">
        <w:rPr>
          <w:lang w:val="en-GB"/>
        </w:rPr>
        <w:t xml:space="preserve"> </w:t>
      </w:r>
      <w:r w:rsidR="00DF0862">
        <w:rPr>
          <w:lang w:val="en-GB"/>
        </w:rPr>
        <w:fldChar w:fldCharType="begin"/>
      </w:r>
      <w:r w:rsidR="00DF0862">
        <w:rPr>
          <w:lang w:val="en-GB"/>
        </w:rPr>
        <w:instrText xml:space="preserve"> REF _Ref498612202 \r \h </w:instrText>
      </w:r>
      <w:r w:rsidR="004C16E7">
        <w:rPr>
          <w:lang w:val="en-GB"/>
        </w:rPr>
        <w:instrText xml:space="preserve"> \* MERGEFORMAT </w:instrText>
      </w:r>
      <w:r w:rsidR="00DF0862">
        <w:rPr>
          <w:lang w:val="en-GB"/>
        </w:rPr>
      </w:r>
      <w:r w:rsidR="00DF0862">
        <w:rPr>
          <w:lang w:val="en-GB"/>
        </w:rPr>
        <w:fldChar w:fldCharType="separate"/>
      </w:r>
      <w:r w:rsidR="001418AE">
        <w:rPr>
          <w:lang w:val="en-GB"/>
        </w:rPr>
        <w:t>[3]</w:t>
      </w:r>
      <w:r w:rsidR="00DF0862">
        <w:rPr>
          <w:lang w:val="en-GB"/>
        </w:rPr>
        <w:fldChar w:fldCharType="end"/>
      </w:r>
      <w:r>
        <w:rPr>
          <w:lang w:val="en-GB"/>
        </w:rPr>
        <w:t>:</w:t>
      </w:r>
    </w:p>
    <w:p w14:paraId="20355DB2" w14:textId="2536EEC9" w:rsidR="00DC7360" w:rsidRDefault="00DC7360" w:rsidP="00DC7360">
      <w:pPr>
        <w:ind w:left="288"/>
        <w:rPr>
          <w:rFonts w:eastAsia="MS Mincho"/>
          <w:b/>
          <w:highlight w:val="green"/>
          <w:u w:val="single"/>
          <w:lang w:eastAsia="ja-JP"/>
        </w:rPr>
      </w:pPr>
      <w:r>
        <w:rPr>
          <w:rFonts w:eastAsia="MS Mincho"/>
          <w:b/>
          <w:highlight w:val="green"/>
          <w:u w:val="single"/>
          <w:lang w:eastAsia="ja-JP"/>
        </w:rPr>
        <w:t>Agreement</w:t>
      </w:r>
      <w:r w:rsidR="00ED4C2A">
        <w:rPr>
          <w:rFonts w:eastAsia="MS Mincho"/>
          <w:b/>
          <w:highlight w:val="green"/>
          <w:u w:val="single"/>
          <w:lang w:eastAsia="ja-JP"/>
        </w:rPr>
        <w:t xml:space="preserve"> 7</w:t>
      </w:r>
      <w:r>
        <w:rPr>
          <w:rFonts w:eastAsia="MS Mincho"/>
          <w:b/>
          <w:highlight w:val="green"/>
          <w:u w:val="single"/>
          <w:lang w:eastAsia="ja-JP"/>
        </w:rPr>
        <w:t>:</w:t>
      </w:r>
    </w:p>
    <w:p w14:paraId="3A58282B" w14:textId="77777777" w:rsidR="00DC7360" w:rsidRDefault="00DC7360" w:rsidP="00DC7360">
      <w:pPr>
        <w:numPr>
          <w:ilvl w:val="0"/>
          <w:numId w:val="21"/>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For TB of size TBS &gt; K</w:t>
      </w:r>
      <w:r>
        <w:rPr>
          <w:rFonts w:eastAsia="MS Mincho"/>
          <w:vertAlign w:val="subscript"/>
          <w:lang w:eastAsia="ja-JP"/>
        </w:rPr>
        <w:t>CB,max</w:t>
      </w:r>
      <w:r>
        <w:rPr>
          <w:rFonts w:eastAsia="MS Mincho"/>
          <w:lang w:eastAsia="ja-JP"/>
        </w:rPr>
        <w:t xml:space="preserve"> – L</w:t>
      </w:r>
      <w:r>
        <w:rPr>
          <w:rFonts w:eastAsia="MS Mincho"/>
          <w:vertAlign w:val="subscript"/>
          <w:lang w:eastAsia="ja-JP"/>
        </w:rPr>
        <w:t>TB,CRC</w:t>
      </w:r>
      <w:r>
        <w:rPr>
          <w:rFonts w:eastAsia="MS Mincho"/>
          <w:lang w:eastAsia="ja-JP"/>
        </w:rPr>
        <w:t>, the TB is segmented into multiple CBs</w:t>
      </w:r>
    </w:p>
    <w:p w14:paraId="48051B8B" w14:textId="77777777" w:rsidR="00DC7360" w:rsidRDefault="00DC7360" w:rsidP="004C16E7">
      <w:pPr>
        <w:jc w:val="both"/>
        <w:rPr>
          <w:lang w:val="en-GB"/>
        </w:rPr>
      </w:pPr>
    </w:p>
    <w:p w14:paraId="1498F02B" w14:textId="2D355755" w:rsidR="009D68E2" w:rsidRDefault="009D68E2" w:rsidP="004C16E7">
      <w:pPr>
        <w:ind w:left="288"/>
        <w:jc w:val="both"/>
        <w:rPr>
          <w:rFonts w:eastAsia="MS Mincho"/>
          <w:b/>
          <w:highlight w:val="green"/>
          <w:u w:val="single"/>
          <w:lang w:eastAsia="ja-JP"/>
        </w:rPr>
      </w:pPr>
      <w:r>
        <w:rPr>
          <w:rFonts w:eastAsia="MS Mincho"/>
          <w:b/>
          <w:highlight w:val="green"/>
          <w:u w:val="single"/>
          <w:lang w:eastAsia="ja-JP"/>
        </w:rPr>
        <w:t>Agreement</w:t>
      </w:r>
      <w:r w:rsidR="00ED4C2A">
        <w:rPr>
          <w:rFonts w:eastAsia="MS Mincho"/>
          <w:b/>
          <w:highlight w:val="green"/>
          <w:u w:val="single"/>
          <w:lang w:eastAsia="ja-JP"/>
        </w:rPr>
        <w:t xml:space="preserve"> 8</w:t>
      </w:r>
      <w:r>
        <w:rPr>
          <w:rFonts w:eastAsia="MS Mincho"/>
          <w:b/>
          <w:highlight w:val="green"/>
          <w:u w:val="single"/>
          <w:lang w:eastAsia="ja-JP"/>
        </w:rPr>
        <w:t>:</w:t>
      </w:r>
    </w:p>
    <w:p w14:paraId="0A5D05D9" w14:textId="0A30FFCE" w:rsidR="009D68E2" w:rsidRDefault="009D68E2" w:rsidP="00E12BB7">
      <w:pPr>
        <w:numPr>
          <w:ilvl w:val="0"/>
          <w:numId w:val="6"/>
        </w:numPr>
        <w:tabs>
          <w:tab w:val="clear" w:pos="720"/>
          <w:tab w:val="num" w:pos="1008"/>
        </w:tabs>
        <w:overflowPunct/>
        <w:autoSpaceDE/>
        <w:autoSpaceDN/>
        <w:adjustRightInd/>
        <w:spacing w:after="0"/>
        <w:ind w:left="1008"/>
        <w:jc w:val="both"/>
        <w:textAlignment w:val="auto"/>
        <w:rPr>
          <w:rFonts w:eastAsia="MS Mincho"/>
          <w:lang w:eastAsia="ja-JP"/>
        </w:rPr>
      </w:pPr>
      <w:r>
        <w:rPr>
          <w:rFonts w:eastAsia="MS Mincho"/>
          <w:lang w:eastAsia="ja-JP"/>
        </w:rPr>
        <w:t>If a TB is segmented into 2 or more CBs after CB segmentation,</w:t>
      </w:r>
    </w:p>
    <w:p w14:paraId="2DB61812" w14:textId="77777777" w:rsidR="009D68E2" w:rsidRDefault="009D68E2" w:rsidP="00E12BB7">
      <w:pPr>
        <w:numPr>
          <w:ilvl w:val="1"/>
          <w:numId w:val="6"/>
        </w:numPr>
        <w:tabs>
          <w:tab w:val="clear" w:pos="1440"/>
          <w:tab w:val="num" w:pos="1728"/>
        </w:tabs>
        <w:overflowPunct/>
        <w:autoSpaceDE/>
        <w:autoSpaceDN/>
        <w:adjustRightInd/>
        <w:spacing w:after="0"/>
        <w:ind w:left="1728"/>
        <w:jc w:val="both"/>
        <w:textAlignment w:val="auto"/>
        <w:rPr>
          <w:rFonts w:eastAsia="MS Mincho"/>
          <w:lang w:eastAsia="ja-JP"/>
        </w:rPr>
      </w:pPr>
      <w:r>
        <w:rPr>
          <w:rFonts w:eastAsia="MS Mincho"/>
          <w:lang w:eastAsia="ja-JP"/>
        </w:rPr>
        <w:t>CB-level CRC is applied, i.e., CRC bits are attached to each code block individually (as in LTE)</w:t>
      </w:r>
    </w:p>
    <w:p w14:paraId="26C564B2" w14:textId="39CC338F" w:rsidR="00E639DF" w:rsidRDefault="00E639DF" w:rsidP="004C16E7">
      <w:pPr>
        <w:ind w:left="288"/>
        <w:jc w:val="both"/>
        <w:rPr>
          <w:rFonts w:eastAsia="MS Mincho"/>
          <w:b/>
          <w:highlight w:val="green"/>
          <w:u w:val="single"/>
          <w:lang w:eastAsia="ja-JP"/>
        </w:rPr>
      </w:pPr>
      <w:r>
        <w:rPr>
          <w:rFonts w:eastAsia="MS Mincho"/>
          <w:b/>
          <w:highlight w:val="green"/>
          <w:u w:val="single"/>
          <w:lang w:eastAsia="ja-JP"/>
        </w:rPr>
        <w:t>Agreement</w:t>
      </w:r>
      <w:r w:rsidR="00DC7360">
        <w:rPr>
          <w:rFonts w:eastAsia="MS Mincho"/>
          <w:b/>
          <w:highlight w:val="green"/>
          <w:u w:val="single"/>
          <w:lang w:eastAsia="ja-JP"/>
        </w:rPr>
        <w:t xml:space="preserve"> 9</w:t>
      </w:r>
      <w:r>
        <w:rPr>
          <w:rFonts w:eastAsia="MS Mincho"/>
          <w:b/>
          <w:highlight w:val="green"/>
          <w:u w:val="single"/>
          <w:lang w:eastAsia="ja-JP"/>
        </w:rPr>
        <w:t xml:space="preserve">: </w:t>
      </w:r>
    </w:p>
    <w:p w14:paraId="1BFED1C2" w14:textId="77777777" w:rsidR="00E639DF" w:rsidRDefault="00E639DF" w:rsidP="00E12BB7">
      <w:pPr>
        <w:numPr>
          <w:ilvl w:val="0"/>
          <w:numId w:val="8"/>
        </w:numPr>
        <w:tabs>
          <w:tab w:val="left" w:pos="720"/>
          <w:tab w:val="left" w:pos="1440"/>
        </w:tabs>
        <w:overflowPunct/>
        <w:autoSpaceDE/>
        <w:autoSpaceDN/>
        <w:adjustRightInd/>
        <w:spacing w:after="0"/>
        <w:ind w:left="1008"/>
        <w:jc w:val="both"/>
        <w:textAlignment w:val="auto"/>
        <w:rPr>
          <w:rFonts w:eastAsia="MS Mincho"/>
          <w:lang w:eastAsia="ja-JP"/>
        </w:rPr>
      </w:pPr>
      <w:r>
        <w:rPr>
          <w:rFonts w:eastAsia="MS Mincho"/>
          <w:lang w:eastAsia="ja-JP"/>
        </w:rPr>
        <w:t>L</w:t>
      </w:r>
      <w:r>
        <w:rPr>
          <w:rFonts w:eastAsia="MS Mincho"/>
          <w:vertAlign w:val="subscript"/>
          <w:lang w:eastAsia="ja-JP"/>
        </w:rPr>
        <w:t xml:space="preserve">CB-CRC </w:t>
      </w:r>
      <w:r>
        <w:rPr>
          <w:rFonts w:eastAsia="MS Mincho"/>
          <w:lang w:eastAsia="ja-JP"/>
        </w:rPr>
        <w:t>= 24 bits</w:t>
      </w:r>
    </w:p>
    <w:p w14:paraId="4C981A58" w14:textId="77777777" w:rsidR="00E639DF" w:rsidRDefault="00E639DF" w:rsidP="004C16E7">
      <w:pPr>
        <w:jc w:val="both"/>
        <w:rPr>
          <w:lang w:val="en-GB"/>
        </w:rPr>
      </w:pPr>
    </w:p>
    <w:p w14:paraId="7E64A110" w14:textId="0B1653F8" w:rsidR="009D68E2" w:rsidRDefault="00E639DF" w:rsidP="004C16E7">
      <w:pPr>
        <w:jc w:val="both"/>
        <w:rPr>
          <w:lang w:val="en-GB"/>
        </w:rPr>
      </w:pPr>
      <w:r>
        <w:rPr>
          <w:lang w:val="en-GB"/>
        </w:rPr>
        <w:t xml:space="preserve">The code blocks after segmentation have equal sizes </w:t>
      </w:r>
      <w:r>
        <w:rPr>
          <w:lang w:val="en-GB"/>
        </w:rPr>
        <w:fldChar w:fldCharType="begin"/>
      </w:r>
      <w:r>
        <w:rPr>
          <w:lang w:val="en-GB"/>
        </w:rPr>
        <w:instrText xml:space="preserve"> REF _Ref498612307 \r \h </w:instrText>
      </w:r>
      <w:r w:rsidR="004C16E7">
        <w:rPr>
          <w:lang w:val="en-GB"/>
        </w:rPr>
        <w:instrText xml:space="preserve"> \* MERGEFORMAT </w:instrText>
      </w:r>
      <w:r>
        <w:rPr>
          <w:lang w:val="en-GB"/>
        </w:rPr>
      </w:r>
      <w:r>
        <w:rPr>
          <w:lang w:val="en-GB"/>
        </w:rPr>
        <w:fldChar w:fldCharType="separate"/>
      </w:r>
      <w:r w:rsidR="001418AE">
        <w:rPr>
          <w:lang w:val="en-GB"/>
        </w:rPr>
        <w:t>[1]</w:t>
      </w:r>
      <w:r>
        <w:rPr>
          <w:lang w:val="en-GB"/>
        </w:rPr>
        <w:fldChar w:fldCharType="end"/>
      </w:r>
      <w:r w:rsidR="00161E1C">
        <w:rPr>
          <w:lang w:val="en-GB"/>
        </w:rPr>
        <w:t>.</w:t>
      </w:r>
    </w:p>
    <w:p w14:paraId="45225ED4" w14:textId="7F0B8445" w:rsidR="00E639DF" w:rsidRDefault="00E639DF" w:rsidP="004C16E7">
      <w:pPr>
        <w:ind w:left="288"/>
        <w:jc w:val="both"/>
        <w:rPr>
          <w:rFonts w:eastAsia="MS Mincho"/>
          <w:b/>
          <w:highlight w:val="green"/>
          <w:u w:val="single"/>
          <w:lang w:eastAsia="ja-JP"/>
        </w:rPr>
      </w:pPr>
      <w:r>
        <w:rPr>
          <w:rFonts w:eastAsia="MS Mincho"/>
          <w:b/>
          <w:highlight w:val="green"/>
          <w:u w:val="single"/>
          <w:lang w:eastAsia="ja-JP"/>
        </w:rPr>
        <w:t>Agreement</w:t>
      </w:r>
      <w:r w:rsidR="00DC7360">
        <w:rPr>
          <w:rFonts w:eastAsia="MS Mincho"/>
          <w:b/>
          <w:highlight w:val="green"/>
          <w:u w:val="single"/>
          <w:lang w:eastAsia="ja-JP"/>
        </w:rPr>
        <w:t xml:space="preserve"> 10</w:t>
      </w:r>
      <w:r>
        <w:rPr>
          <w:rFonts w:eastAsia="MS Mincho"/>
          <w:b/>
          <w:highlight w:val="green"/>
          <w:u w:val="single"/>
          <w:lang w:eastAsia="ja-JP"/>
        </w:rPr>
        <w:t>:</w:t>
      </w:r>
    </w:p>
    <w:p w14:paraId="529CC1A2" w14:textId="77777777" w:rsidR="00E639DF" w:rsidRDefault="00E639DF" w:rsidP="00E12BB7">
      <w:pPr>
        <w:numPr>
          <w:ilvl w:val="0"/>
          <w:numId w:val="8"/>
        </w:numPr>
        <w:tabs>
          <w:tab w:val="left" w:pos="720"/>
          <w:tab w:val="left" w:pos="1440"/>
        </w:tabs>
        <w:overflowPunct/>
        <w:autoSpaceDE/>
        <w:autoSpaceDN/>
        <w:adjustRightInd/>
        <w:spacing w:after="0"/>
        <w:ind w:left="1008"/>
        <w:jc w:val="both"/>
        <w:textAlignment w:val="auto"/>
        <w:rPr>
          <w:rFonts w:eastAsia="MS Mincho"/>
          <w:lang w:eastAsia="ja-JP"/>
        </w:rPr>
      </w:pPr>
      <w:r>
        <w:rPr>
          <w:rFonts w:eastAsia="MS Mincho"/>
          <w:lang w:eastAsia="ja-JP"/>
        </w:rPr>
        <w:t>Equal code block size after segmentation</w:t>
      </w:r>
    </w:p>
    <w:p w14:paraId="7E9146B9" w14:textId="6BBF3D0C" w:rsidR="00E639DF" w:rsidRDefault="00E639DF" w:rsidP="004C16E7">
      <w:pPr>
        <w:jc w:val="both"/>
        <w:rPr>
          <w:lang w:val="en-GB"/>
        </w:rPr>
      </w:pPr>
    </w:p>
    <w:p w14:paraId="2295DBCA" w14:textId="02268C55" w:rsidR="00161E1C" w:rsidRDefault="00161E1C" w:rsidP="004C16E7">
      <w:pPr>
        <w:jc w:val="both"/>
        <w:rPr>
          <w:lang w:val="en-GB"/>
        </w:rPr>
      </w:pPr>
      <w:r>
        <w:rPr>
          <w:lang w:val="en-GB"/>
        </w:rPr>
        <w:t xml:space="preserve">The TBS determination procedure </w:t>
      </w:r>
      <w:r w:rsidR="00E02151">
        <w:rPr>
          <w:lang w:val="en-GB"/>
        </w:rPr>
        <w:t xml:space="preserve">is to ensure that no padding bits are needed when segmenting if BG1 is used, and should strive to accomplish the same when BG2 is used </w:t>
      </w:r>
      <w:r w:rsidR="00E02151">
        <w:rPr>
          <w:lang w:val="en-GB"/>
        </w:rPr>
        <w:fldChar w:fldCharType="begin"/>
      </w:r>
      <w:r w:rsidR="00E02151">
        <w:rPr>
          <w:lang w:val="en-GB"/>
        </w:rPr>
        <w:instrText xml:space="preserve"> REF _Ref498612979 \r \h </w:instrText>
      </w:r>
      <w:r w:rsidR="004C16E7">
        <w:rPr>
          <w:lang w:val="en-GB"/>
        </w:rPr>
        <w:instrText xml:space="preserve"> \* MERGEFORMAT </w:instrText>
      </w:r>
      <w:r w:rsidR="00E02151">
        <w:rPr>
          <w:lang w:val="en-GB"/>
        </w:rPr>
      </w:r>
      <w:r w:rsidR="00E02151">
        <w:rPr>
          <w:lang w:val="en-GB"/>
        </w:rPr>
        <w:fldChar w:fldCharType="separate"/>
      </w:r>
      <w:r w:rsidR="001418AE">
        <w:rPr>
          <w:lang w:val="en-GB"/>
        </w:rPr>
        <w:t>[4]</w:t>
      </w:r>
      <w:r w:rsidR="00E02151">
        <w:rPr>
          <w:lang w:val="en-GB"/>
        </w:rPr>
        <w:fldChar w:fldCharType="end"/>
      </w:r>
      <w:r w:rsidR="00E02151">
        <w:rPr>
          <w:lang w:val="en-GB"/>
        </w:rPr>
        <w:t>.</w:t>
      </w:r>
    </w:p>
    <w:p w14:paraId="59162202" w14:textId="32B089A7" w:rsidR="00E02151" w:rsidRPr="008B39A7" w:rsidRDefault="00E02151" w:rsidP="004C16E7">
      <w:pPr>
        <w:ind w:left="288"/>
        <w:jc w:val="both"/>
        <w:rPr>
          <w:rFonts w:eastAsia="MS Mincho"/>
          <w:b/>
          <w:highlight w:val="green"/>
          <w:u w:val="single"/>
          <w:lang w:eastAsia="ja-JP"/>
        </w:rPr>
      </w:pPr>
      <w:r w:rsidRPr="008B39A7">
        <w:rPr>
          <w:rFonts w:eastAsia="MS Mincho"/>
          <w:b/>
          <w:highlight w:val="green"/>
          <w:u w:val="single"/>
          <w:lang w:eastAsia="ja-JP"/>
        </w:rPr>
        <w:t>Agreement</w:t>
      </w:r>
      <w:r w:rsidR="00DC7360">
        <w:rPr>
          <w:rFonts w:eastAsia="MS Mincho"/>
          <w:b/>
          <w:highlight w:val="green"/>
          <w:u w:val="single"/>
          <w:lang w:eastAsia="ja-JP"/>
        </w:rPr>
        <w:t xml:space="preserve"> 11</w:t>
      </w:r>
      <w:r w:rsidRPr="008B39A7">
        <w:rPr>
          <w:rFonts w:eastAsia="MS Mincho"/>
          <w:b/>
          <w:highlight w:val="green"/>
          <w:u w:val="single"/>
          <w:lang w:eastAsia="ja-JP"/>
        </w:rPr>
        <w:t xml:space="preserve">: </w:t>
      </w:r>
    </w:p>
    <w:p w14:paraId="5ABECDDD" w14:textId="77777777" w:rsidR="00E02151" w:rsidRDefault="00E02151" w:rsidP="00E12BB7">
      <w:pPr>
        <w:numPr>
          <w:ilvl w:val="0"/>
          <w:numId w:val="9"/>
        </w:numPr>
        <w:tabs>
          <w:tab w:val="clear" w:pos="720"/>
          <w:tab w:val="num" w:pos="1008"/>
        </w:tabs>
        <w:overflowPunct/>
        <w:autoSpaceDE/>
        <w:autoSpaceDN/>
        <w:adjustRightInd/>
        <w:spacing w:after="0"/>
        <w:ind w:left="1008"/>
        <w:jc w:val="both"/>
        <w:textAlignment w:val="auto"/>
        <w:rPr>
          <w:rFonts w:eastAsia="MS Mincho"/>
          <w:lang w:eastAsia="ja-JP"/>
        </w:rPr>
      </w:pPr>
      <w:r w:rsidRPr="008B39A7">
        <w:rPr>
          <w:rFonts w:eastAsia="MS Mincho"/>
          <w:lang w:eastAsia="ja-JP"/>
        </w:rPr>
        <w:t xml:space="preserve">TBS determination </w:t>
      </w:r>
      <w:r>
        <w:rPr>
          <w:rFonts w:eastAsia="MS Mincho"/>
          <w:lang w:eastAsia="ja-JP"/>
        </w:rPr>
        <w:t xml:space="preserve">for all code rates </w:t>
      </w:r>
      <w:r w:rsidRPr="008B39A7">
        <w:rPr>
          <w:rFonts w:eastAsia="MS Mincho"/>
          <w:lang w:eastAsia="ja-JP"/>
        </w:rPr>
        <w:t xml:space="preserve">shall ensure that no zero padding is necessary with BG1 segmentation; </w:t>
      </w:r>
      <w:r>
        <w:rPr>
          <w:rFonts w:eastAsia="MS Mincho"/>
          <w:lang w:eastAsia="ja-JP"/>
        </w:rPr>
        <w:t xml:space="preserve">TBS determination shall also </w:t>
      </w:r>
      <w:r w:rsidRPr="008B39A7">
        <w:rPr>
          <w:rFonts w:eastAsia="MS Mincho"/>
          <w:lang w:eastAsia="ja-JP"/>
        </w:rPr>
        <w:t xml:space="preserve">strive to </w:t>
      </w:r>
      <w:r>
        <w:rPr>
          <w:rFonts w:eastAsia="MS Mincho"/>
          <w:lang w:eastAsia="ja-JP"/>
        </w:rPr>
        <w:t>achieve</w:t>
      </w:r>
      <w:r w:rsidRPr="008B39A7">
        <w:rPr>
          <w:rFonts w:eastAsia="MS Mincho"/>
          <w:lang w:eastAsia="ja-JP"/>
        </w:rPr>
        <w:t xml:space="preserve"> </w:t>
      </w:r>
      <w:r>
        <w:rPr>
          <w:rFonts w:eastAsia="MS Mincho"/>
          <w:lang w:eastAsia="ja-JP"/>
        </w:rPr>
        <w:t xml:space="preserve">no </w:t>
      </w:r>
      <w:r w:rsidRPr="008B39A7">
        <w:rPr>
          <w:rFonts w:eastAsia="MS Mincho"/>
          <w:lang w:eastAsia="ja-JP"/>
        </w:rPr>
        <w:t xml:space="preserve">zero padding also with BG2 segmentation; any special cases are only permitted for BG2. </w:t>
      </w:r>
    </w:p>
    <w:p w14:paraId="64EC6D13" w14:textId="77777777" w:rsidR="00E02151" w:rsidRDefault="00E02151" w:rsidP="00E12BB7">
      <w:pPr>
        <w:numPr>
          <w:ilvl w:val="1"/>
          <w:numId w:val="9"/>
        </w:numPr>
        <w:tabs>
          <w:tab w:val="clear" w:pos="1440"/>
          <w:tab w:val="num" w:pos="1728"/>
        </w:tabs>
        <w:overflowPunct/>
        <w:autoSpaceDE/>
        <w:autoSpaceDN/>
        <w:adjustRightInd/>
        <w:spacing w:after="0"/>
        <w:ind w:left="1728"/>
        <w:jc w:val="both"/>
        <w:textAlignment w:val="auto"/>
        <w:rPr>
          <w:rFonts w:eastAsia="MS Mincho"/>
          <w:lang w:eastAsia="ja-JP"/>
        </w:rPr>
      </w:pPr>
      <w:r>
        <w:rPr>
          <w:rFonts w:eastAsia="MS Mincho"/>
          <w:lang w:eastAsia="ja-JP"/>
        </w:rPr>
        <w:t>If needed for BG2 segmentation, z</w:t>
      </w:r>
      <w:r w:rsidRPr="00AA4180">
        <w:rPr>
          <w:rFonts w:eastAsia="MS Mincho"/>
          <w:lang w:eastAsia="ja-JP"/>
        </w:rPr>
        <w:t>ero padding is added</w:t>
      </w:r>
      <w:r>
        <w:rPr>
          <w:rFonts w:eastAsia="MS Mincho"/>
          <w:lang w:eastAsia="ja-JP"/>
        </w:rPr>
        <w:t xml:space="preserve"> during segmentation</w:t>
      </w:r>
      <w:r w:rsidRPr="00AA4180">
        <w:rPr>
          <w:rFonts w:eastAsia="MS Mincho"/>
          <w:lang w:eastAsia="ja-JP"/>
        </w:rPr>
        <w:t>, with the padding being placed at the beginning of the first code block prior to CB-CRC calculation; padding bits are transmitted.</w:t>
      </w:r>
      <w:r>
        <w:rPr>
          <w:rFonts w:eastAsia="MS Mincho"/>
          <w:lang w:eastAsia="ja-JP"/>
        </w:rPr>
        <w:t xml:space="preserve"> </w:t>
      </w:r>
    </w:p>
    <w:p w14:paraId="5D217147" w14:textId="215FD003" w:rsidR="00E02151" w:rsidRDefault="00E02151" w:rsidP="004C16E7">
      <w:pPr>
        <w:jc w:val="both"/>
        <w:rPr>
          <w:rFonts w:eastAsia="MS Mincho"/>
          <w:lang w:eastAsia="ja-JP"/>
        </w:rPr>
      </w:pPr>
    </w:p>
    <w:p w14:paraId="73BBCC97" w14:textId="540B0B8F" w:rsidR="00E02151" w:rsidRDefault="00E02151" w:rsidP="004C16E7">
      <w:pPr>
        <w:jc w:val="both"/>
        <w:rPr>
          <w:rFonts w:eastAsia="MS Mincho"/>
          <w:lang w:eastAsia="ja-JP"/>
        </w:rPr>
      </w:pPr>
      <w:r>
        <w:rPr>
          <w:rFonts w:eastAsia="MS Mincho"/>
          <w:lang w:eastAsia="ja-JP"/>
        </w:rPr>
        <w:t xml:space="preserve">Finally, the TBS should be byte aligned and byte-alignment of CBS is to be studied </w:t>
      </w:r>
      <w:r>
        <w:rPr>
          <w:rFonts w:eastAsia="MS Mincho"/>
          <w:lang w:eastAsia="ja-JP"/>
        </w:rPr>
        <w:fldChar w:fldCharType="begin"/>
      </w:r>
      <w:r>
        <w:rPr>
          <w:rFonts w:eastAsia="MS Mincho"/>
          <w:lang w:eastAsia="ja-JP"/>
        </w:rPr>
        <w:instrText xml:space="preserve"> REF _Ref498612979 \r \h </w:instrText>
      </w:r>
      <w:r w:rsidR="004C16E7">
        <w:rPr>
          <w:rFonts w:eastAsia="MS Mincho"/>
          <w:lang w:eastAsia="ja-JP"/>
        </w:rPr>
        <w:instrText xml:space="preserve"> \* MERGEFORMAT </w:instrText>
      </w:r>
      <w:r>
        <w:rPr>
          <w:rFonts w:eastAsia="MS Mincho"/>
          <w:lang w:eastAsia="ja-JP"/>
        </w:rPr>
      </w:r>
      <w:r>
        <w:rPr>
          <w:rFonts w:eastAsia="MS Mincho"/>
          <w:lang w:eastAsia="ja-JP"/>
        </w:rPr>
        <w:fldChar w:fldCharType="separate"/>
      </w:r>
      <w:r w:rsidR="001418AE">
        <w:rPr>
          <w:rFonts w:eastAsia="MS Mincho"/>
          <w:lang w:eastAsia="ja-JP"/>
        </w:rPr>
        <w:t>[4]</w:t>
      </w:r>
      <w:r>
        <w:rPr>
          <w:rFonts w:eastAsia="MS Mincho"/>
          <w:lang w:eastAsia="ja-JP"/>
        </w:rPr>
        <w:fldChar w:fldCharType="end"/>
      </w:r>
    </w:p>
    <w:p w14:paraId="33F01956" w14:textId="59702476" w:rsidR="00E02151" w:rsidRPr="007B0434" w:rsidRDefault="00E02151" w:rsidP="004C16E7">
      <w:pPr>
        <w:ind w:left="288"/>
        <w:jc w:val="both"/>
        <w:rPr>
          <w:rFonts w:eastAsia="MS Mincho"/>
          <w:b/>
          <w:highlight w:val="green"/>
          <w:u w:val="single"/>
          <w:lang w:eastAsia="ja-JP"/>
        </w:rPr>
      </w:pPr>
      <w:r w:rsidRPr="007B0434">
        <w:rPr>
          <w:rFonts w:eastAsia="MS Mincho"/>
          <w:b/>
          <w:highlight w:val="green"/>
          <w:u w:val="single"/>
          <w:lang w:eastAsia="ja-JP"/>
        </w:rPr>
        <w:t>Agreement</w:t>
      </w:r>
      <w:r w:rsidR="00DC7360">
        <w:rPr>
          <w:rFonts w:eastAsia="MS Mincho"/>
          <w:b/>
          <w:highlight w:val="green"/>
          <w:u w:val="single"/>
          <w:lang w:eastAsia="ja-JP"/>
        </w:rPr>
        <w:t xml:space="preserve"> 12</w:t>
      </w:r>
      <w:r w:rsidRPr="007B0434">
        <w:rPr>
          <w:rFonts w:eastAsia="MS Mincho"/>
          <w:b/>
          <w:highlight w:val="green"/>
          <w:u w:val="single"/>
          <w:lang w:eastAsia="ja-JP"/>
        </w:rPr>
        <w:t xml:space="preserve">: </w:t>
      </w:r>
    </w:p>
    <w:p w14:paraId="1D08BB61" w14:textId="77777777" w:rsidR="00E02151" w:rsidRDefault="00E02151" w:rsidP="00E12BB7">
      <w:pPr>
        <w:numPr>
          <w:ilvl w:val="0"/>
          <w:numId w:val="5"/>
        </w:numPr>
        <w:overflowPunct/>
        <w:autoSpaceDE/>
        <w:autoSpaceDN/>
        <w:adjustRightInd/>
        <w:spacing w:after="0"/>
        <w:ind w:left="1368"/>
        <w:jc w:val="both"/>
        <w:textAlignment w:val="auto"/>
        <w:rPr>
          <w:rFonts w:eastAsia="MS Mincho"/>
          <w:lang w:eastAsia="ja-JP"/>
        </w:rPr>
      </w:pPr>
      <w:r>
        <w:rPr>
          <w:rFonts w:eastAsia="MS Mincho"/>
          <w:lang w:eastAsia="ja-JP"/>
        </w:rPr>
        <w:t>TBSs are byte-aligned</w:t>
      </w:r>
    </w:p>
    <w:p w14:paraId="6703A8E7" w14:textId="77777777" w:rsidR="00E02151" w:rsidRDefault="00E02151" w:rsidP="004C16E7">
      <w:pPr>
        <w:ind w:left="288"/>
        <w:jc w:val="both"/>
      </w:pPr>
      <w:r>
        <w:t xml:space="preserve">FFS: Byte- or something-alignment of CB sizes. </w:t>
      </w:r>
    </w:p>
    <w:p w14:paraId="4D80D230" w14:textId="38B10322" w:rsidR="009D68E2" w:rsidRDefault="00215680" w:rsidP="004C16E7">
      <w:pPr>
        <w:jc w:val="both"/>
        <w:rPr>
          <w:lang w:val="en-GB"/>
        </w:rPr>
      </w:pPr>
      <w:r>
        <w:rPr>
          <w:lang w:val="en-GB"/>
        </w:rPr>
        <w:t xml:space="preserve">Byte-aligned CBS </w:t>
      </w:r>
      <w:r w:rsidR="003C0AA1">
        <w:rPr>
          <w:lang w:val="en-GB"/>
        </w:rPr>
        <w:t>reduces implementation complexity by simplifying memory access</w:t>
      </w:r>
      <w:r w:rsidR="00383172">
        <w:rPr>
          <w:lang w:val="en-GB"/>
        </w:rPr>
        <w:t>, especially during retransmission</w:t>
      </w:r>
      <w:r w:rsidR="003C0AA1">
        <w:rPr>
          <w:lang w:val="en-GB"/>
        </w:rPr>
        <w:t>. Therefore, it is a desirable feature in a TBS determination scheme.</w:t>
      </w:r>
    </w:p>
    <w:p w14:paraId="5DE6BB03" w14:textId="0DFA9F55" w:rsidR="00E02151" w:rsidRDefault="00E02151" w:rsidP="004C16E7">
      <w:pPr>
        <w:jc w:val="both"/>
      </w:pPr>
      <w:r>
        <w:rPr>
          <w:lang w:val="en-GB"/>
        </w:rPr>
        <w:t>From these agreements it can be observed that the base-graph selection depends on the TBS. However, segmentation, and in turn TBS because TBS must be an integer multiple of the code</w:t>
      </w:r>
      <w:r w:rsidR="004C16E7">
        <w:rPr>
          <w:lang w:val="en-GB"/>
        </w:rPr>
        <w:t xml:space="preserve"> </w:t>
      </w:r>
      <w:r>
        <w:rPr>
          <w:lang w:val="en-GB"/>
        </w:rPr>
        <w:t>block length at least for BG1, depends on the selected base graph and the associated K</w:t>
      </w:r>
      <w:r w:rsidRPr="00E02151">
        <w:rPr>
          <w:vertAlign w:val="subscript"/>
          <w:lang w:val="en-GB"/>
        </w:rPr>
        <w:t>cb</w:t>
      </w:r>
      <w:r>
        <w:t xml:space="preserve">. Such </w:t>
      </w:r>
      <w:r w:rsidR="00E12BB7">
        <w:t>circular</w:t>
      </w:r>
      <w:r>
        <w:t xml:space="preserve"> dependencies complicate and couple base-graph and TBS determination.</w:t>
      </w:r>
    </w:p>
    <w:p w14:paraId="12F7BA10" w14:textId="1E532D04" w:rsidR="00E12BB7" w:rsidRDefault="00E12BB7" w:rsidP="004C16E7">
      <w:pPr>
        <w:jc w:val="both"/>
      </w:pPr>
      <w:r w:rsidRPr="00E12BB7">
        <w:rPr>
          <w:b/>
          <w:u w:val="single"/>
        </w:rPr>
        <w:t>Observation 1:</w:t>
      </w:r>
      <w:r>
        <w:t xml:space="preserve"> There are circular dependencies between </w:t>
      </w:r>
      <w:r w:rsidR="008F4949">
        <w:t>TBS, CBS, and BG</w:t>
      </w:r>
      <w:r>
        <w:t xml:space="preserve"> determination.</w:t>
      </w:r>
    </w:p>
    <w:p w14:paraId="0F1CD748" w14:textId="679FD1C8" w:rsidR="00E02151" w:rsidRDefault="00E02151" w:rsidP="004C16E7">
      <w:pPr>
        <w:jc w:val="both"/>
      </w:pPr>
      <w:r>
        <w:t xml:space="preserve">In this contribution, we propose </w:t>
      </w:r>
      <w:r w:rsidR="004C16E7">
        <w:t xml:space="preserve">a </w:t>
      </w:r>
      <w:r>
        <w:t>base-graph and TBS determination procedur</w:t>
      </w:r>
      <w:r w:rsidR="004C16E7">
        <w:t>e</w:t>
      </w:r>
      <w:r>
        <w:t xml:space="preserve"> free of cyclic dependencies and meeting all the RAN1 agreement</w:t>
      </w:r>
      <w:r w:rsidR="004C16E7">
        <w:t xml:space="preserve">s. In addition, the proposed procedure results in byte-aligned code blocks, guarantees no padding when BG2 is used, and has a negligible overhead for most TB sizes. The starting point of the procedure is the intermediate number of information bits as agreed to in </w:t>
      </w:r>
      <w:r w:rsidR="004C16E7">
        <w:fldChar w:fldCharType="begin"/>
      </w:r>
      <w:r w:rsidR="004C16E7">
        <w:instrText xml:space="preserve"> REF _Ref498612979 \r \h  \* MERGEFORMAT </w:instrText>
      </w:r>
      <w:r w:rsidR="004C16E7">
        <w:fldChar w:fldCharType="separate"/>
      </w:r>
      <w:r w:rsidR="001418AE">
        <w:t>[4]</w:t>
      </w:r>
      <w:r w:rsidR="004C16E7">
        <w:fldChar w:fldCharType="end"/>
      </w:r>
    </w:p>
    <w:p w14:paraId="54BC11DF" w14:textId="77777777" w:rsidR="004C16E7" w:rsidRPr="00A310DC" w:rsidRDefault="004C16E7" w:rsidP="004C16E7">
      <w:pPr>
        <w:ind w:left="288"/>
        <w:jc w:val="both"/>
        <w:rPr>
          <w:highlight w:val="green"/>
        </w:rPr>
      </w:pPr>
      <w:r w:rsidRPr="00A310DC">
        <w:rPr>
          <w:highlight w:val="green"/>
        </w:rPr>
        <w:t>Agreements:</w:t>
      </w:r>
    </w:p>
    <w:p w14:paraId="4E068029" w14:textId="2AD18DB9" w:rsidR="004C16E7" w:rsidRPr="00284530" w:rsidRDefault="004C16E7" w:rsidP="00E12BB7">
      <w:pPr>
        <w:pStyle w:val="ListParagraph"/>
        <w:numPr>
          <w:ilvl w:val="0"/>
          <w:numId w:val="10"/>
        </w:numPr>
        <w:ind w:left="1008"/>
        <w:contextualSpacing/>
        <w:jc w:val="both"/>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14:paraId="6A6F912A" w14:textId="424274F6" w:rsidR="004C16E7" w:rsidRPr="00284530" w:rsidRDefault="004C16E7" w:rsidP="00E12BB7">
      <w:pPr>
        <w:pStyle w:val="ListParagraph"/>
        <w:numPr>
          <w:ilvl w:val="1"/>
          <w:numId w:val="10"/>
        </w:numPr>
        <w:ind w:left="1728"/>
        <w:contextualSpacing/>
        <w:jc w:val="both"/>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14:paraId="5520E427" w14:textId="63879380" w:rsidR="004C16E7" w:rsidRPr="00284530" w:rsidRDefault="00683214" w:rsidP="00E12BB7">
      <w:pPr>
        <w:pStyle w:val="ListParagraph"/>
        <w:numPr>
          <w:ilvl w:val="1"/>
          <w:numId w:val="10"/>
        </w:numPr>
        <w:ind w:left="1728"/>
        <w:contextualSpacing/>
        <w:jc w:val="both"/>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4C16E7" w:rsidRPr="007C690E">
        <w:rPr>
          <w:iCs/>
          <w:lang w:eastAsia="zh-CN"/>
        </w:rPr>
        <w:t xml:space="preserve"> is the modulation order, </w:t>
      </w:r>
      <w:r w:rsidR="004C16E7">
        <w:rPr>
          <w:lang w:eastAsia="zh-CN"/>
        </w:rPr>
        <w:t>obtained from the MCS index</w:t>
      </w:r>
    </w:p>
    <w:p w14:paraId="69DD9B96" w14:textId="453DB272" w:rsidR="004C16E7" w:rsidRPr="00284530" w:rsidRDefault="004C16E7" w:rsidP="00E12BB7">
      <w:pPr>
        <w:pStyle w:val="ListParagraph"/>
        <w:numPr>
          <w:ilvl w:val="1"/>
          <w:numId w:val="10"/>
        </w:numPr>
        <w:ind w:left="1728"/>
        <w:contextualSpacing/>
        <w:jc w:val="both"/>
      </w:pPr>
      <m:oMath>
        <m:r>
          <w:rPr>
            <w:rFonts w:ascii="Cambria Math" w:hAnsi="Cambria Math"/>
            <w:lang w:eastAsia="zh-CN"/>
          </w:rPr>
          <m:t>R</m:t>
        </m:r>
      </m:oMath>
      <w:r>
        <w:rPr>
          <w:lang w:eastAsia="zh-CN"/>
        </w:rPr>
        <w:t xml:space="preserve"> is the code rate, obtained from the MCS index</w:t>
      </w:r>
    </w:p>
    <w:p w14:paraId="75A6A726" w14:textId="419C0556" w:rsidR="004C16E7" w:rsidRDefault="00683214" w:rsidP="00E12BB7">
      <w:pPr>
        <w:pStyle w:val="ListParagraph"/>
        <w:numPr>
          <w:ilvl w:val="1"/>
          <w:numId w:val="10"/>
        </w:numPr>
        <w:ind w:left="1728"/>
        <w:contextualSpacing/>
        <w:jc w:val="both"/>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4C16E7" w:rsidRPr="007C690E">
        <w:rPr>
          <w:iCs/>
          <w:lang w:eastAsia="zh-CN"/>
        </w:rPr>
        <w:t xml:space="preserve"> is </w:t>
      </w:r>
      <w:r w:rsidR="004C16E7">
        <w:t>number of resource elements</w:t>
      </w:r>
    </w:p>
    <w:p w14:paraId="15675EF5" w14:textId="17801995" w:rsidR="004C16E7" w:rsidRPr="00D922C8" w:rsidRDefault="00683214" w:rsidP="00E12BB7">
      <w:pPr>
        <w:pStyle w:val="BodyText"/>
        <w:numPr>
          <w:ilvl w:val="1"/>
          <w:numId w:val="10"/>
        </w:numPr>
        <w:overflowPunct/>
        <w:autoSpaceDE/>
        <w:autoSpaceDN/>
        <w:adjustRightInd/>
        <w:ind w:left="1728"/>
        <w:textAlignment w:val="auto"/>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4C16E7" w:rsidRPr="007C690E">
        <w:rPr>
          <w:iCs/>
          <w:lang w:eastAsia="zh-CN"/>
        </w:rPr>
        <w:t xml:space="preserve"> </w:t>
      </w:r>
      <w:r w:rsidR="004C16E7">
        <w:rPr>
          <w:szCs w:val="20"/>
        </w:rPr>
        <w:t xml:space="preserve">= Y * #PRBs_scheduled </w:t>
      </w:r>
    </w:p>
    <w:p w14:paraId="3AEF9E6B" w14:textId="720AE24C" w:rsidR="004C16E7" w:rsidRDefault="00170931" w:rsidP="00170931">
      <w:pPr>
        <w:pStyle w:val="Heading1"/>
      </w:pPr>
      <w:r>
        <w:t>Base-graph and TBS Determination Procedure</w:t>
      </w:r>
    </w:p>
    <w:p w14:paraId="27581B15" w14:textId="23481BC2" w:rsidR="003D49DD" w:rsidRDefault="003D49DD" w:rsidP="00A15C8D">
      <w:pPr>
        <w:jc w:val="both"/>
        <w:rPr>
          <w:lang w:val="en-GB"/>
        </w:rPr>
      </w:pPr>
      <w:r>
        <w:rPr>
          <w:iCs/>
        </w:rPr>
        <w:t xml:space="preserve">This section discusses how the base-graph and TBS are determined. </w:t>
      </w:r>
      <w:r w:rsidR="00F87A7D">
        <w:rPr>
          <w:iCs/>
        </w:rPr>
        <w:t xml:space="preserve">The procedure results in output that is in agreement with the RAN1 decisions, as well as having byte-aligned CBs and removing the need for padding with BG2. </w:t>
      </w:r>
      <w:r>
        <w:rPr>
          <w:iCs/>
        </w:rPr>
        <w:t xml:space="preserve">The compatibility of the resulting TBS and base-graph with the RAN1 </w:t>
      </w:r>
      <w:r w:rsidR="00F87A7D">
        <w:rPr>
          <w:iCs/>
        </w:rPr>
        <w:t xml:space="preserve">agreements is discussed in detail in Section </w:t>
      </w:r>
      <w:r w:rsidR="00F87A7D">
        <w:rPr>
          <w:iCs/>
        </w:rPr>
        <w:fldChar w:fldCharType="begin"/>
      </w:r>
      <w:r w:rsidR="00F87A7D">
        <w:rPr>
          <w:iCs/>
        </w:rPr>
        <w:instrText xml:space="preserve"> REF _Ref498628004 \r \h </w:instrText>
      </w:r>
      <w:r w:rsidR="00A15C8D">
        <w:rPr>
          <w:iCs/>
        </w:rPr>
        <w:instrText xml:space="preserve"> \* MERGEFORMAT </w:instrText>
      </w:r>
      <w:r w:rsidR="00F87A7D">
        <w:rPr>
          <w:iCs/>
        </w:rPr>
      </w:r>
      <w:r w:rsidR="00F87A7D">
        <w:rPr>
          <w:iCs/>
        </w:rPr>
        <w:fldChar w:fldCharType="separate"/>
      </w:r>
      <w:r w:rsidR="001418AE">
        <w:rPr>
          <w:iCs/>
        </w:rPr>
        <w:t>3</w:t>
      </w:r>
      <w:r w:rsidR="00F87A7D">
        <w:rPr>
          <w:iCs/>
        </w:rPr>
        <w:fldChar w:fldCharType="end"/>
      </w:r>
      <w:r w:rsidR="00F87A7D">
        <w:rPr>
          <w:iCs/>
        </w:rPr>
        <w:t>.</w:t>
      </w:r>
    </w:p>
    <w:p w14:paraId="485DC885" w14:textId="198D47B9" w:rsidR="003E6233" w:rsidRDefault="00F63EAE" w:rsidP="003E6233">
      <w:pPr>
        <w:jc w:val="both"/>
        <w:rPr>
          <w:iCs/>
        </w:rPr>
      </w:pPr>
      <w:r w:rsidRPr="00F63EAE">
        <w:rPr>
          <w:lang w:val="en-GB"/>
        </w:rPr>
        <w:t>To simplify notation</w:t>
      </w:r>
      <w:r>
        <w:rPr>
          <w:lang w:val="en-GB"/>
        </w:rPr>
        <w:t>, the intermediate number of information is denoted</w:t>
      </w:r>
      <w:r w:rsidRPr="00F63EAE">
        <w:rPr>
          <w:lang w:val="en-GB"/>
        </w:rPr>
        <w:t xml:space="preserve"> </w:t>
      </w:r>
      <m:oMath>
        <m:sSub>
          <m:sSubPr>
            <m:ctrlPr>
              <w:rPr>
                <w:rFonts w:ascii="Cambria Math" w:hAnsi="Cambria Math"/>
                <w:i/>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.R.v</m:t>
        </m:r>
      </m:oMath>
      <w:r>
        <w:rPr>
          <w:iCs/>
        </w:rPr>
        <w:t xml:space="preserve">. </w:t>
      </w:r>
      <w:r w:rsidR="004444B7">
        <w:rPr>
          <w:iCs/>
        </w:rPr>
        <w:t xml:space="preserve">The number of resource elements, </w:t>
      </w:r>
      <m:oMath>
        <m:sSub>
          <m:sSubPr>
            <m:ctrlPr>
              <w:rPr>
                <w:rFonts w:ascii="Cambria Math" w:hAnsi="Cambria Math"/>
                <w:i/>
                <w:iCs/>
              </w:rPr>
            </m:ctrlPr>
          </m:sSubPr>
          <m:e>
            <m:r>
              <w:rPr>
                <w:rFonts w:ascii="Cambria Math" w:hAnsi="Cambria Math"/>
              </w:rPr>
              <m:t>N</m:t>
            </m:r>
          </m:e>
          <m:sub>
            <m:r>
              <w:rPr>
                <w:rFonts w:ascii="Cambria Math" w:hAnsi="Cambria Math"/>
              </w:rPr>
              <m:t>RE</m:t>
            </m:r>
          </m:sub>
        </m:sSub>
      </m:oMath>
      <w:r w:rsidR="004444B7">
        <w:rPr>
          <w:iCs/>
        </w:rPr>
        <w:t xml:space="preserve">, is calculated as discussed in </w:t>
      </w:r>
      <w:r w:rsidR="004444B7">
        <w:rPr>
          <w:iCs/>
        </w:rPr>
        <w:fldChar w:fldCharType="begin"/>
      </w:r>
      <w:r w:rsidR="004444B7">
        <w:rPr>
          <w:iCs/>
        </w:rPr>
        <w:instrText xml:space="preserve"> REF _Ref498674446 \r \h </w:instrText>
      </w:r>
      <w:r w:rsidR="004444B7">
        <w:rPr>
          <w:iCs/>
        </w:rPr>
      </w:r>
      <w:r w:rsidR="004444B7">
        <w:rPr>
          <w:iCs/>
        </w:rPr>
        <w:fldChar w:fldCharType="separate"/>
      </w:r>
      <w:r w:rsidR="001418AE">
        <w:rPr>
          <w:iCs/>
        </w:rPr>
        <w:t>[5]</w:t>
      </w:r>
      <w:r w:rsidR="004444B7">
        <w:rPr>
          <w:iCs/>
        </w:rPr>
        <w:fldChar w:fldCharType="end"/>
      </w:r>
      <w:r w:rsidR="004444B7">
        <w:rPr>
          <w:iCs/>
        </w:rPr>
        <w:t xml:space="preserve">. </w:t>
      </w:r>
      <w:r>
        <w:rPr>
          <w:iCs/>
        </w:rPr>
        <w:t>This value will be used in place of TBS to determine base-graph, the length of the TB CRC, and the number and size of code blocks to segment to if needed.</w:t>
      </w:r>
      <w:r w:rsidR="004444B7">
        <w:rPr>
          <w:iCs/>
        </w:rPr>
        <w:t xml:space="preserve"> The</w:t>
      </w:r>
      <w:r w:rsidR="003E7920">
        <w:rPr>
          <w:iCs/>
        </w:rPr>
        <w:t xml:space="preserve"> basic</w:t>
      </w:r>
      <w:r w:rsidR="004444B7">
        <w:rPr>
          <w:iCs/>
        </w:rPr>
        <w:t xml:space="preserve"> BG and TBS determination procedure is presented in its entirety next, followed by step-by-step explanation</w:t>
      </w:r>
      <w:r w:rsidR="003E7920">
        <w:rPr>
          <w:iCs/>
        </w:rPr>
        <w:t xml:space="preserve">. A modified version the facilitates TBS reuse during retransmission is presented in Section </w:t>
      </w:r>
      <w:r w:rsidR="003E7920">
        <w:rPr>
          <w:iCs/>
        </w:rPr>
        <w:fldChar w:fldCharType="begin"/>
      </w:r>
      <w:r w:rsidR="003E7920">
        <w:rPr>
          <w:iCs/>
        </w:rPr>
        <w:instrText xml:space="preserve"> REF _Ref499617311 \r \h </w:instrText>
      </w:r>
      <w:r w:rsidR="003E7920">
        <w:rPr>
          <w:iCs/>
        </w:rPr>
      </w:r>
      <w:r w:rsidR="003E7920">
        <w:rPr>
          <w:iCs/>
        </w:rPr>
        <w:fldChar w:fldCharType="separate"/>
      </w:r>
      <w:r w:rsidR="001418AE">
        <w:rPr>
          <w:iCs/>
        </w:rPr>
        <w:t>4</w:t>
      </w:r>
      <w:r w:rsidR="003E7920">
        <w:rPr>
          <w:iCs/>
        </w:rPr>
        <w:fldChar w:fldCharType="end"/>
      </w:r>
      <w:r w:rsidR="003E7920">
        <w:rPr>
          <w:iCs/>
        </w:rPr>
        <w:t>.</w:t>
      </w:r>
    </w:p>
    <w:p w14:paraId="5A0FA8E4" w14:textId="6F4F46AF" w:rsidR="00E03311" w:rsidRDefault="00E03311" w:rsidP="003E6233">
      <w:pPr>
        <w:jc w:val="both"/>
        <w:rPr>
          <w:iCs/>
          <w:color w:val="1F4E79" w:themeColor="accent1" w:themeShade="80"/>
        </w:rPr>
      </w:pPr>
    </w:p>
    <w:p w14:paraId="2E1331F0" w14:textId="7076C0C5" w:rsidR="003E7920" w:rsidRDefault="003E7920" w:rsidP="00A97A0D">
      <w:pPr>
        <w:pStyle w:val="ListParagraph"/>
        <w:numPr>
          <w:ilvl w:val="0"/>
          <w:numId w:val="22"/>
        </w:numPr>
        <w:pBdr>
          <w:top w:val="single" w:sz="4" w:space="1" w:color="auto"/>
          <w:left w:val="single" w:sz="4" w:space="4" w:color="auto"/>
          <w:bottom w:val="single" w:sz="4" w:space="1" w:color="auto"/>
          <w:right w:val="single" w:sz="4" w:space="4" w:color="auto"/>
        </w:pBdr>
        <w:spacing w:line="360" w:lineRule="auto"/>
        <w:ind w:left="1080" w:right="1080"/>
        <w:jc w:val="both"/>
        <w:rPr>
          <w:iCs/>
        </w:rPr>
      </w:pPr>
      <w:r>
        <w:rPr>
          <w:iCs/>
        </w:rPr>
        <w:t xml:space="preserve">Let </w:t>
      </w:r>
      <m:oMath>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.R.v</m:t>
        </m:r>
      </m:oMath>
    </w:p>
    <w:p w14:paraId="45B450E0" w14:textId="47BCB908" w:rsidR="009F057B" w:rsidRPr="009F057B" w:rsidRDefault="009F057B" w:rsidP="00A97A0D">
      <w:pPr>
        <w:pStyle w:val="ListParagraph"/>
        <w:numPr>
          <w:ilvl w:val="0"/>
          <w:numId w:val="22"/>
        </w:numPr>
        <w:pBdr>
          <w:top w:val="single" w:sz="4" w:space="1" w:color="auto"/>
          <w:left w:val="single" w:sz="4" w:space="4" w:color="auto"/>
          <w:bottom w:val="single" w:sz="4" w:space="1" w:color="auto"/>
          <w:right w:val="single" w:sz="4" w:space="4" w:color="auto"/>
        </w:pBdr>
        <w:spacing w:line="360" w:lineRule="auto"/>
        <w:ind w:left="1080" w:right="1080"/>
        <w:jc w:val="both"/>
        <w:rPr>
          <w:iCs/>
        </w:rPr>
      </w:pPr>
      <w:r>
        <w:rPr>
          <w:iCs/>
        </w:rPr>
        <w:t xml:space="preserve">Let </w:t>
      </w:r>
      <m:oMath>
        <m:r>
          <w:rPr>
            <w:rFonts w:ascii="Cambria Math" w:hAnsi="Cambria Math"/>
          </w:rPr>
          <m:t>X≥0</m:t>
        </m:r>
      </m:oMath>
      <w:r>
        <w:rPr>
          <w:iCs/>
        </w:rPr>
        <w:t xml:space="preserve"> be the rate back-off offset. </w:t>
      </w:r>
    </w:p>
    <w:p w14:paraId="14FE5AF9" w14:textId="7C907308" w:rsidR="002A5161" w:rsidRPr="00BA5B69" w:rsidRDefault="00683214" w:rsidP="00BA5B69">
      <w:pPr>
        <w:pStyle w:val="ListParagraph"/>
        <w:numPr>
          <w:ilvl w:val="0"/>
          <w:numId w:val="22"/>
        </w:numPr>
        <w:pBdr>
          <w:top w:val="single" w:sz="4" w:space="1" w:color="auto"/>
          <w:left w:val="single" w:sz="4" w:space="4" w:color="auto"/>
          <w:bottom w:val="single" w:sz="4" w:space="1" w:color="auto"/>
          <w:right w:val="single" w:sz="4" w:space="4" w:color="auto"/>
        </w:pBdr>
        <w:spacing w:line="360" w:lineRule="auto"/>
        <w:ind w:left="1080" w:right="1080"/>
        <w:jc w:val="both"/>
        <w:rPr>
          <w:iCs/>
        </w:rPr>
      </w:pPr>
      <m:oMath>
        <m:sSub>
          <m:sSubPr>
            <m:ctrlPr>
              <w:rPr>
                <w:rFonts w:ascii="Cambria Math" w:hAnsi="Cambria Math"/>
                <w:i/>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-X</m:t>
        </m:r>
      </m:oMath>
      <w:r w:rsidR="00BA5B69">
        <w:t>.</w:t>
      </w:r>
    </w:p>
    <w:p w14:paraId="37BFDE45" w14:textId="1EF83539" w:rsidR="003E6233" w:rsidRPr="005E5F32" w:rsidRDefault="003E6233" w:rsidP="00A97A0D">
      <w:pPr>
        <w:pStyle w:val="ListParagraph"/>
        <w:numPr>
          <w:ilvl w:val="0"/>
          <w:numId w:val="22"/>
        </w:numPr>
        <w:pBdr>
          <w:top w:val="single" w:sz="4" w:space="1" w:color="auto"/>
          <w:left w:val="single" w:sz="4" w:space="4" w:color="auto"/>
          <w:bottom w:val="single" w:sz="4" w:space="1" w:color="auto"/>
          <w:right w:val="single" w:sz="4" w:space="4" w:color="auto"/>
        </w:pBdr>
        <w:spacing w:line="360" w:lineRule="auto"/>
        <w:ind w:left="1080" w:right="1080"/>
      </w:pPr>
      <w:r w:rsidRPr="005E5F32">
        <w:t>BG2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 xml:space="preserve">=3840) </m:t>
        </m:r>
      </m:oMath>
      <w:r w:rsidRPr="005E5F32">
        <w:t xml:space="preserve">is chosen when </w:t>
      </w:r>
      <m:oMath>
        <m:r>
          <w:rPr>
            <w:rFonts w:ascii="Cambria Math" w:hAnsi="Cambria Math"/>
          </w:rPr>
          <m:t>(R≤0.25)</m:t>
        </m:r>
      </m:oMath>
      <w:r w:rsidRPr="005E5F32">
        <w:t xml:space="preserve"> or </w:t>
      </w:r>
      <m:oMath>
        <m:r>
          <w:rPr>
            <w:rFonts w:ascii="Cambria Math" w:hAnsi="Cambria Math"/>
          </w:rPr>
          <m:t>(R≤</m:t>
        </m:r>
        <m:r>
          <m:rPr>
            <m:sty m:val="p"/>
          </m:rPr>
          <w:rPr>
            <w:rFonts w:ascii="Cambria Math" w:hAnsi="Cambria Math"/>
          </w:rPr>
          <m:t>0.67 and</m:t>
        </m:r>
        <m:r>
          <w:rPr>
            <w:rFonts w:ascii="Cambria Math" w:hAnsi="Cambria Math"/>
          </w:rPr>
          <m:t>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Pr="005E5F32">
        <w:t xml:space="preserve"> or </w:t>
      </w:r>
      <m:oMath>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≤288)</m:t>
        </m:r>
      </m:oMath>
      <w:r w:rsidRPr="005E5F32">
        <w:rPr>
          <w:iCs/>
        </w:rPr>
        <w:t xml:space="preserve">; otherwise, BG1 </w:t>
      </w:r>
      <m:oMath>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=8448)</m:t>
        </m:r>
      </m:oMath>
      <w:r w:rsidRPr="005E5F32">
        <w:rPr>
          <w:iCs/>
        </w:rPr>
        <w:t xml:space="preserve"> is chosen.</w:t>
      </w:r>
    </w:p>
    <w:p w14:paraId="621F81D3" w14:textId="7BCA1848" w:rsidR="003E6233" w:rsidRPr="005E5F32" w:rsidRDefault="00683214" w:rsidP="00A97A0D">
      <w:pPr>
        <w:pStyle w:val="ListParagraph"/>
        <w:numPr>
          <w:ilvl w:val="0"/>
          <w:numId w:val="22"/>
        </w:numPr>
        <w:pBdr>
          <w:top w:val="single" w:sz="4" w:space="1" w:color="auto"/>
          <w:left w:val="single" w:sz="4" w:space="4" w:color="auto"/>
          <w:bottom w:val="single" w:sz="4" w:space="1" w:color="auto"/>
          <w:right w:val="single" w:sz="4" w:space="4" w:color="auto"/>
        </w:pBdr>
        <w:spacing w:line="360" w:lineRule="auto"/>
        <w:ind w:left="1080" w:right="1080"/>
      </w:pP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=16</m:t>
        </m:r>
      </m:oMath>
      <w:r w:rsidR="003E6233" w:rsidRPr="005E5F32">
        <w:t xml:space="preserve"> if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003E6233" w:rsidRPr="005E5F32">
        <w:t xml:space="preserve">; otherwise,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003E6233" w:rsidRPr="005E5F32">
        <w:t>.</w:t>
      </w:r>
    </w:p>
    <w:p w14:paraId="598F2F9F" w14:textId="091F334F" w:rsidR="003E6233" w:rsidRPr="005E5F32" w:rsidRDefault="003E6233" w:rsidP="00A97A0D">
      <w:pPr>
        <w:pStyle w:val="ListParagraph"/>
        <w:numPr>
          <w:ilvl w:val="0"/>
          <w:numId w:val="22"/>
        </w:numPr>
        <w:pBdr>
          <w:top w:val="single" w:sz="4" w:space="1" w:color="auto"/>
          <w:left w:val="single" w:sz="4" w:space="4" w:color="auto"/>
          <w:bottom w:val="single" w:sz="4" w:space="1" w:color="auto"/>
          <w:right w:val="single" w:sz="4" w:space="4" w:color="auto"/>
        </w:pBdr>
        <w:spacing w:line="360" w:lineRule="auto"/>
        <w:ind w:left="1080" w:right="1080"/>
      </w:pPr>
      <w:r w:rsidRPr="005E5F32">
        <w:t>No segmentation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=0</m:t>
        </m:r>
      </m:oMath>
      <w:r w:rsidRPr="005E5F32">
        <w:t xml:space="preserve">) when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cb</m:t>
            </m:r>
          </m:sub>
        </m:sSub>
      </m:oMath>
      <w:r w:rsidRPr="005E5F32">
        <w:rPr>
          <w:iCs/>
        </w:rPr>
        <w:t>; otherwise, the TB is segmented into more than one CB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5E5F32">
        <w:t>.</w:t>
      </w:r>
    </w:p>
    <w:p w14:paraId="4F0A9D3F" w14:textId="1A2274AD" w:rsidR="003E6233" w:rsidRPr="005E5F32" w:rsidRDefault="003E6233" w:rsidP="00A97A0D">
      <w:pPr>
        <w:pStyle w:val="ListParagraph"/>
        <w:numPr>
          <w:ilvl w:val="0"/>
          <w:numId w:val="22"/>
        </w:numPr>
        <w:pBdr>
          <w:top w:val="single" w:sz="4" w:space="1" w:color="auto"/>
          <w:left w:val="single" w:sz="4" w:space="4" w:color="auto"/>
          <w:bottom w:val="single" w:sz="4" w:space="1" w:color="auto"/>
          <w:right w:val="single" w:sz="4" w:space="4" w:color="auto"/>
        </w:pBdr>
        <w:spacing w:line="360" w:lineRule="auto"/>
        <w:ind w:left="1080" w:right="1080"/>
      </w:pPr>
      <m:oMath>
        <m:r>
          <w:rPr>
            <w:rFonts w:ascii="Cambria Math" w:hAnsi="Cambria Math"/>
          </w:rPr>
          <m:t>TBS= 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Pr="005E5F32">
        <w:t>.</w:t>
      </w:r>
    </w:p>
    <w:p w14:paraId="2E401A48" w14:textId="77777777" w:rsidR="003E6233" w:rsidRPr="002A5161" w:rsidRDefault="003E6233" w:rsidP="00A15C8D">
      <w:pPr>
        <w:jc w:val="both"/>
        <w:rPr>
          <w:iCs/>
          <w:color w:val="1F4E79" w:themeColor="accent1" w:themeShade="80"/>
        </w:rPr>
      </w:pPr>
    </w:p>
    <w:p w14:paraId="3738F626" w14:textId="2B169CCE" w:rsidR="00F80E18" w:rsidRDefault="00F80E18" w:rsidP="00F63EAE">
      <w:pPr>
        <w:rPr>
          <w:iCs/>
        </w:rPr>
      </w:pPr>
      <w:r>
        <w:rPr>
          <w:iCs/>
        </w:rPr>
        <w:t>There are three regions where BG2 is used instead of BG1:</w:t>
      </w:r>
    </w:p>
    <w:p w14:paraId="53B10201" w14:textId="77777777" w:rsidR="00A15C8D" w:rsidRDefault="00F80E18" w:rsidP="0030472C">
      <w:pPr>
        <w:pStyle w:val="ListParagraph"/>
        <w:numPr>
          <w:ilvl w:val="0"/>
          <w:numId w:val="19"/>
        </w:numPr>
        <w:jc w:val="both"/>
        <w:rPr>
          <w:lang w:val="en-GB"/>
        </w:rPr>
      </w:pPr>
      <w:r>
        <w:rPr>
          <w:lang w:val="en-GB"/>
        </w:rPr>
        <w:t xml:space="preserve">When the code rate is </w:t>
      </w:r>
      <m:oMath>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oMath>
      <w:r w:rsidR="00A15C8D">
        <w:rPr>
          <w:lang w:val="en-GB"/>
        </w:rPr>
        <w:t xml:space="preserve">. </w:t>
      </w:r>
    </w:p>
    <w:p w14:paraId="38E09FEF" w14:textId="2C4AFBF7" w:rsidR="00F87A7D" w:rsidRDefault="00A15C8D" w:rsidP="0030472C">
      <w:pPr>
        <w:pStyle w:val="ListParagraph"/>
        <w:numPr>
          <w:ilvl w:val="1"/>
          <w:numId w:val="19"/>
        </w:numPr>
        <w:jc w:val="both"/>
        <w:rPr>
          <w:lang w:val="en-GB"/>
        </w:rPr>
      </w:pPr>
      <w:r>
        <w:rPr>
          <w:lang w:val="en-GB"/>
        </w:rPr>
        <w:t xml:space="preserve">This is a simple check: </w:t>
      </w:r>
      <m:oMath>
        <m:r>
          <w:rPr>
            <w:rFonts w:ascii="Cambria Math" w:hAnsi="Cambria Math"/>
            <w:lang w:val="en-GB"/>
          </w:rPr>
          <m:t>R≤1/4.</m:t>
        </m:r>
      </m:oMath>
    </w:p>
    <w:p w14:paraId="2286C127" w14:textId="55481968" w:rsidR="00A15C8D" w:rsidRDefault="00F80E18" w:rsidP="0030472C">
      <w:pPr>
        <w:pStyle w:val="ListParagraph"/>
        <w:numPr>
          <w:ilvl w:val="0"/>
          <w:numId w:val="19"/>
        </w:numPr>
        <w:jc w:val="both"/>
        <w:rPr>
          <w:lang w:val="en-GB"/>
        </w:rPr>
      </w:pPr>
      <w:r>
        <w:rPr>
          <w:lang w:val="en-GB"/>
        </w:rPr>
        <w:t xml:space="preserve">When the code rate </w:t>
      </w:r>
      <m:oMath>
        <m:r>
          <w:rPr>
            <w:rFonts w:ascii="Cambria Math" w:hAnsi="Cambria Math"/>
            <w:lang w:val="en-GB"/>
          </w:rPr>
          <m:t>≤0.67</m:t>
        </m:r>
      </m:oMath>
      <w:r>
        <w:rPr>
          <w:lang w:val="en-GB"/>
        </w:rPr>
        <w:t xml:space="preserve"> and the CBS is </w:t>
      </w:r>
      <m:oMath>
        <m:r>
          <w:rPr>
            <w:rFonts w:ascii="Cambria Math" w:hAnsi="Cambria Math"/>
            <w:lang w:val="en-GB"/>
          </w:rPr>
          <m:t>≤3840</m:t>
        </m:r>
      </m:oMath>
      <w:r>
        <w:rPr>
          <w:lang w:val="en-GB"/>
        </w:rPr>
        <w:t xml:space="preserve">. However, neither the CBS, nor the final </w:t>
      </w:r>
      <w:r w:rsidR="00A15C8D">
        <w:rPr>
          <w:lang w:val="en-GB"/>
        </w:rPr>
        <w:t>TBS is known at this stage. Therefore,</w:t>
      </w:r>
      <w:r>
        <w:rPr>
          <w:lang w:val="en-GB"/>
        </w:rPr>
        <w:t xml:space="preserv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0</m:t>
            </m:r>
          </m:sub>
        </m:sSub>
      </m:oMath>
      <w:r>
        <w:rPr>
          <w:lang w:val="en-GB"/>
        </w:rPr>
        <w:t xml:space="preserve"> is used instead. This case corresponds to </w:t>
      </w:r>
      <w:r w:rsidR="00A15C8D">
        <w:rPr>
          <w:lang w:val="en-GB"/>
        </w:rPr>
        <w:t xml:space="preserve">a small TB without segmentation since segmentation is only used with BG2 when </w:t>
      </w:r>
      <m:oMath>
        <m:r>
          <w:rPr>
            <w:rFonts w:ascii="Cambria Math" w:hAnsi="Cambria Math"/>
            <w:lang w:val="en-GB"/>
          </w:rPr>
          <m:t>R≤1/4</m:t>
        </m:r>
      </m:oMath>
      <w:r w:rsidR="00A15C8D">
        <w:rPr>
          <w:lang w:val="en-GB"/>
        </w:rPr>
        <w:t xml:space="preserve">, a case that is </w:t>
      </w:r>
      <w:r w:rsidR="00807BA3">
        <w:rPr>
          <w:lang w:val="en-GB"/>
        </w:rPr>
        <w:t>already checked separately</w:t>
      </w:r>
      <w:r w:rsidR="00A15C8D">
        <w:rPr>
          <w:lang w:val="en-GB"/>
        </w:rPr>
        <w:t xml:space="preserve">. For small TBs, the length </w:t>
      </w:r>
      <w:r w:rsidR="00807BA3">
        <w:rPr>
          <w:lang w:val="en-GB"/>
        </w:rPr>
        <w:t>of the TB-level CRC is 16 bits.</w:t>
      </w:r>
    </w:p>
    <w:p w14:paraId="743175BA" w14:textId="5BB3F9E6" w:rsidR="00F80E18" w:rsidRDefault="00A15C8D" w:rsidP="0030472C">
      <w:pPr>
        <w:pStyle w:val="ListParagraph"/>
        <w:numPr>
          <w:ilvl w:val="1"/>
          <w:numId w:val="19"/>
        </w:numPr>
        <w:jc w:val="both"/>
        <w:rPr>
          <w:lang w:val="en-GB"/>
        </w:rPr>
      </w:pPr>
      <w:r>
        <w:rPr>
          <w:lang w:val="en-GB"/>
        </w:rPr>
        <w:t xml:space="preserve">The condition checked is: </w:t>
      </w:r>
      <m:oMath>
        <m:r>
          <w:rPr>
            <w:rFonts w:ascii="Cambria Math" w:hAnsi="Cambria Math"/>
            <w:lang w:val="en-GB"/>
          </w:rPr>
          <m:t xml:space="preserve">R≤0.67 </m:t>
        </m:r>
        <m:r>
          <m:rPr>
            <m:sty m:val="p"/>
          </m:rPr>
          <w:rPr>
            <w:rFonts w:ascii="Cambria Math" w:hAnsi="Cambria Math"/>
            <w:lang w:val="en-GB"/>
          </w:rPr>
          <m:t>and</m:t>
        </m:r>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0</m:t>
            </m:r>
          </m:sub>
        </m:sSub>
        <m:r>
          <w:rPr>
            <w:rFonts w:ascii="Cambria Math" w:hAnsi="Cambria Math"/>
            <w:lang w:val="en-GB"/>
          </w:rPr>
          <m:t>≤3824</m:t>
        </m:r>
      </m:oMath>
      <w:r>
        <w:rPr>
          <w:lang w:val="en-GB"/>
        </w:rPr>
        <w:t>.</w:t>
      </w:r>
    </w:p>
    <w:p w14:paraId="03501207" w14:textId="5BAB63A4" w:rsidR="00A15C8D" w:rsidRDefault="00A15C8D" w:rsidP="0030472C">
      <w:pPr>
        <w:pStyle w:val="ListParagraph"/>
        <w:numPr>
          <w:ilvl w:val="0"/>
          <w:numId w:val="19"/>
        </w:numPr>
        <w:jc w:val="both"/>
        <w:rPr>
          <w:lang w:val="en-GB"/>
        </w:rPr>
      </w:pPr>
      <w:r>
        <w:rPr>
          <w:lang w:val="en-GB"/>
        </w:rPr>
        <w:t xml:space="preserve">When the CBS is </w:t>
      </w:r>
      <m:oMath>
        <m:r>
          <w:rPr>
            <w:rFonts w:ascii="Cambria Math" w:hAnsi="Cambria Math"/>
            <w:lang w:val="en-GB"/>
          </w:rPr>
          <m:t>≤308</m:t>
        </m:r>
      </m:oMath>
      <w:r>
        <w:rPr>
          <w:lang w:val="en-GB"/>
        </w:rPr>
        <w:t xml:space="preserve">. </w:t>
      </w:r>
      <w:r w:rsidR="00807BA3">
        <w:rPr>
          <w:lang w:val="en-GB"/>
        </w:rPr>
        <w:t>The</w:t>
      </w:r>
      <w:r>
        <w:rPr>
          <w:lang w:val="en-GB"/>
        </w:rPr>
        <w:t xml:space="preserve"> CBS is not </w:t>
      </w:r>
      <w:r w:rsidR="00807BA3">
        <w:rPr>
          <w:lang w:val="en-GB"/>
        </w:rPr>
        <w:t xml:space="preserve">precisely </w:t>
      </w:r>
      <w:r>
        <w:rPr>
          <w:lang w:val="en-GB"/>
        </w:rPr>
        <w:t>known at this stage</w:t>
      </w:r>
      <w:r w:rsidR="00807BA3">
        <w:rPr>
          <w:lang w:val="en-GB"/>
        </w:rPr>
        <w:t xml:space="preserve"> either</w:t>
      </w:r>
      <w:r>
        <w:rPr>
          <w:lang w:val="en-GB"/>
        </w:rPr>
        <w:t xml:space="preserve">. Since this is a small TB, the TB-level CRC is 16 bits long and the </w:t>
      </w:r>
      <w:r w:rsidR="0030472C">
        <w:rPr>
          <w:lang w:val="en-GB"/>
        </w:rPr>
        <w:t xml:space="preserve">CBS = </w:t>
      </w:r>
      <w:r>
        <w:rPr>
          <w:lang w:val="en-GB"/>
        </w:rPr>
        <w:t>TBS+16. Since TBS is byte-aligned, the CBS must be byte-aligned in this case as well (general CBS byte-alignment will be addressed later). The largest CBS that is byte-aligned and</w:t>
      </w:r>
      <w:r w:rsidR="00807BA3">
        <w:rPr>
          <w:lang w:val="en-GB"/>
        </w:rPr>
        <w:t xml:space="preserve"> satisfies the condition is 304 with a TBS of 288.</w:t>
      </w:r>
    </w:p>
    <w:p w14:paraId="0069227E" w14:textId="52822D84" w:rsidR="00A15C8D" w:rsidRDefault="00A15C8D" w:rsidP="0030472C">
      <w:pPr>
        <w:pStyle w:val="ListParagraph"/>
        <w:numPr>
          <w:ilvl w:val="1"/>
          <w:numId w:val="19"/>
        </w:numPr>
        <w:jc w:val="both"/>
        <w:rPr>
          <w:lang w:val="en-GB"/>
        </w:rPr>
      </w:pPr>
      <w:r>
        <w:rPr>
          <w:lang w:val="en-GB"/>
        </w:rPr>
        <w:t xml:space="preserve">The condition checked is: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0</m:t>
            </m:r>
          </m:sub>
        </m:sSub>
        <m:r>
          <w:rPr>
            <w:rFonts w:ascii="Cambria Math" w:hAnsi="Cambria Math"/>
            <w:lang w:val="en-GB"/>
          </w:rPr>
          <m:t>≤288</m:t>
        </m:r>
      </m:oMath>
      <w:r>
        <w:rPr>
          <w:lang w:val="en-GB"/>
        </w:rPr>
        <w:t>.</w:t>
      </w:r>
    </w:p>
    <w:p w14:paraId="67190654" w14:textId="190422B4" w:rsidR="0030472C" w:rsidRDefault="0030472C" w:rsidP="0030472C">
      <w:pPr>
        <w:jc w:val="both"/>
        <w:rPr>
          <w:lang w:val="en-GB"/>
        </w:rPr>
      </w:pPr>
      <w:r>
        <w:rPr>
          <w:lang w:val="en-GB"/>
        </w:rPr>
        <w:t>The base-graph determination procedure can be summarized as:</w:t>
      </w:r>
    </w:p>
    <w:p w14:paraId="36B35942" w14:textId="67BD828E" w:rsidR="00C57383" w:rsidRPr="00DC7360" w:rsidRDefault="0030472C" w:rsidP="00B555DE">
      <w:pPr>
        <w:jc w:val="center"/>
        <w:rPr>
          <w:iCs/>
          <w:color w:val="1F4E79" w:themeColor="accent1" w:themeShade="80"/>
        </w:rPr>
      </w:pPr>
      <w:r w:rsidRPr="00DC7360">
        <w:rPr>
          <w:color w:val="1F4E79" w:themeColor="accent1" w:themeShade="80"/>
        </w:rPr>
        <w:t xml:space="preserve">BG2 </w:t>
      </w:r>
      <w:r w:rsidR="00C57383" w:rsidRPr="00DC7360">
        <w:rPr>
          <w:color w:val="1F4E79" w:themeColor="accent1" w:themeShade="80"/>
        </w:rPr>
        <w:t>(</w:t>
      </w:r>
      <m:oMath>
        <m:sSub>
          <m:sSubPr>
            <m:ctrlPr>
              <w:rPr>
                <w:rFonts w:ascii="Cambria Math" w:hAnsi="Cambria Math"/>
                <w:i/>
                <w:color w:val="1F4E79" w:themeColor="accent1" w:themeShade="80"/>
              </w:rPr>
            </m:ctrlPr>
          </m:sSubPr>
          <m:e>
            <m:r>
              <w:rPr>
                <w:rFonts w:ascii="Cambria Math" w:hAnsi="Cambria Math"/>
                <w:color w:val="1F4E79" w:themeColor="accent1" w:themeShade="80"/>
              </w:rPr>
              <m:t>K</m:t>
            </m:r>
          </m:e>
          <m:sub>
            <m:r>
              <w:rPr>
                <w:rFonts w:ascii="Cambria Math" w:hAnsi="Cambria Math"/>
                <w:color w:val="1F4E79" w:themeColor="accent1" w:themeShade="80"/>
              </w:rPr>
              <m:t>cb</m:t>
            </m:r>
          </m:sub>
        </m:sSub>
        <m:r>
          <w:rPr>
            <w:rFonts w:ascii="Cambria Math" w:hAnsi="Cambria Math"/>
            <w:color w:val="1F4E79" w:themeColor="accent1" w:themeShade="80"/>
          </w:rPr>
          <m:t xml:space="preserve">=3840) </m:t>
        </m:r>
      </m:oMath>
      <w:r w:rsidR="003E5BD7" w:rsidRPr="00DC7360">
        <w:rPr>
          <w:color w:val="1F4E79" w:themeColor="accent1" w:themeShade="80"/>
        </w:rPr>
        <w:t xml:space="preserve">is chosen </w:t>
      </w:r>
      <w:r w:rsidRPr="00DC7360">
        <w:rPr>
          <w:color w:val="1F4E79" w:themeColor="accent1" w:themeShade="80"/>
        </w:rPr>
        <w:t xml:space="preserve">when </w:t>
      </w:r>
      <m:oMath>
        <m:r>
          <w:rPr>
            <w:rFonts w:ascii="Cambria Math" w:hAnsi="Cambria Math"/>
            <w:color w:val="1F4E79" w:themeColor="accent1" w:themeShade="80"/>
          </w:rPr>
          <m:t>(R≤0.25)</m:t>
        </m:r>
      </m:oMath>
      <w:r w:rsidRPr="00DC7360">
        <w:rPr>
          <w:color w:val="1F4E79" w:themeColor="accent1" w:themeShade="80"/>
        </w:rPr>
        <w:t xml:space="preserve"> or </w:t>
      </w:r>
      <m:oMath>
        <m:r>
          <w:rPr>
            <w:rFonts w:ascii="Cambria Math" w:hAnsi="Cambria Math"/>
            <w:color w:val="1F4E79" w:themeColor="accent1" w:themeShade="80"/>
          </w:rPr>
          <m:t>(R≤</m:t>
        </m:r>
        <m:r>
          <m:rPr>
            <m:sty m:val="p"/>
          </m:rPr>
          <w:rPr>
            <w:rFonts w:ascii="Cambria Math" w:hAnsi="Cambria Math"/>
            <w:color w:val="1F4E79" w:themeColor="accent1" w:themeShade="80"/>
          </w:rPr>
          <m:t>0.67 and</m:t>
        </m:r>
        <m:r>
          <w:rPr>
            <w:rFonts w:ascii="Cambria Math" w:hAnsi="Cambria Math"/>
            <w:color w:val="1F4E79" w:themeColor="accent1" w:themeShade="80"/>
          </w:rPr>
          <m:t> </m:t>
        </m:r>
        <m:sSub>
          <m:sSubPr>
            <m:ctrlPr>
              <w:rPr>
                <w:rFonts w:ascii="Cambria Math" w:hAnsi="Cambria Math"/>
                <w:i/>
                <w:iCs/>
                <w:color w:val="1F4E79" w:themeColor="accent1" w:themeShade="80"/>
              </w:rPr>
            </m:ctrlPr>
          </m:sSubPr>
          <m:e>
            <m:r>
              <w:rPr>
                <w:rFonts w:ascii="Cambria Math" w:hAnsi="Cambria Math"/>
                <w:color w:val="1F4E79" w:themeColor="accent1" w:themeShade="80"/>
              </w:rPr>
              <m:t>T</m:t>
            </m:r>
          </m:e>
          <m:sub>
            <m:r>
              <w:rPr>
                <w:rFonts w:ascii="Cambria Math" w:hAnsi="Cambria Math"/>
                <w:color w:val="1F4E79" w:themeColor="accent1" w:themeShade="80"/>
              </w:rPr>
              <m:t>0</m:t>
            </m:r>
          </m:sub>
        </m:sSub>
        <m:r>
          <w:rPr>
            <w:rFonts w:ascii="Cambria Math" w:hAnsi="Cambria Math"/>
            <w:color w:val="1F4E79" w:themeColor="accent1" w:themeShade="80"/>
          </w:rPr>
          <m:t>≤3824)</m:t>
        </m:r>
      </m:oMath>
      <w:r w:rsidRPr="00DC7360">
        <w:rPr>
          <w:color w:val="1F4E79" w:themeColor="accent1" w:themeShade="80"/>
        </w:rPr>
        <w:t xml:space="preserve"> or </w:t>
      </w:r>
      <m:oMath>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T</m:t>
            </m:r>
          </m:e>
          <m:sub>
            <m:r>
              <w:rPr>
                <w:rFonts w:ascii="Cambria Math" w:hAnsi="Cambria Math"/>
                <w:color w:val="1F4E79" w:themeColor="accent1" w:themeShade="80"/>
              </w:rPr>
              <m:t>0</m:t>
            </m:r>
          </m:sub>
        </m:sSub>
        <m:r>
          <w:rPr>
            <w:rFonts w:ascii="Cambria Math" w:hAnsi="Cambria Math"/>
            <w:color w:val="1F4E79" w:themeColor="accent1" w:themeShade="80"/>
          </w:rPr>
          <m:t>≤288)</m:t>
        </m:r>
      </m:oMath>
      <w:r w:rsidR="00C57383" w:rsidRPr="00DC7360">
        <w:rPr>
          <w:iCs/>
          <w:color w:val="1F4E79" w:themeColor="accent1" w:themeShade="80"/>
        </w:rPr>
        <w:t>;</w:t>
      </w:r>
    </w:p>
    <w:p w14:paraId="3F94C681" w14:textId="02F62B52" w:rsidR="0030472C" w:rsidRPr="00DC7360" w:rsidRDefault="00C57383" w:rsidP="00B555DE">
      <w:pPr>
        <w:jc w:val="center"/>
        <w:rPr>
          <w:color w:val="1F4E79" w:themeColor="accent1" w:themeShade="80"/>
        </w:rPr>
      </w:pPr>
      <w:r w:rsidRPr="00DC7360">
        <w:rPr>
          <w:iCs/>
          <w:color w:val="1F4E79" w:themeColor="accent1" w:themeShade="80"/>
        </w:rPr>
        <w:t>o</w:t>
      </w:r>
      <w:r w:rsidR="0030472C" w:rsidRPr="00DC7360">
        <w:rPr>
          <w:iCs/>
          <w:color w:val="1F4E79" w:themeColor="accent1" w:themeShade="80"/>
        </w:rPr>
        <w:t>therwise, BG1</w:t>
      </w:r>
      <w:r w:rsidRPr="00DC7360">
        <w:rPr>
          <w:iCs/>
          <w:color w:val="1F4E79" w:themeColor="accent1" w:themeShade="80"/>
        </w:rPr>
        <w:t xml:space="preserve"> </w:t>
      </w:r>
      <m:oMath>
        <m:sSub>
          <m:sSubPr>
            <m:ctrlPr>
              <w:rPr>
                <w:rFonts w:ascii="Cambria Math" w:hAnsi="Cambria Math"/>
                <w:i/>
                <w:iCs/>
                <w:color w:val="1F4E79" w:themeColor="accent1" w:themeShade="80"/>
              </w:rPr>
            </m:ctrlPr>
          </m:sSubPr>
          <m:e>
            <m:r>
              <w:rPr>
                <w:rFonts w:ascii="Cambria Math" w:hAnsi="Cambria Math"/>
                <w:color w:val="1F4E79" w:themeColor="accent1" w:themeShade="80"/>
              </w:rPr>
              <m:t>(K</m:t>
            </m:r>
          </m:e>
          <m:sub>
            <m:r>
              <w:rPr>
                <w:rFonts w:ascii="Cambria Math" w:hAnsi="Cambria Math"/>
                <w:color w:val="1F4E79" w:themeColor="accent1" w:themeShade="80"/>
              </w:rPr>
              <m:t>cb</m:t>
            </m:r>
          </m:sub>
        </m:sSub>
        <m:r>
          <w:rPr>
            <w:rFonts w:ascii="Cambria Math" w:hAnsi="Cambria Math"/>
            <w:color w:val="1F4E79" w:themeColor="accent1" w:themeShade="80"/>
          </w:rPr>
          <m:t>=8448)</m:t>
        </m:r>
      </m:oMath>
      <w:r w:rsidR="003E5BD7" w:rsidRPr="00DC7360">
        <w:rPr>
          <w:iCs/>
          <w:color w:val="1F4E79" w:themeColor="accent1" w:themeShade="80"/>
        </w:rPr>
        <w:t xml:space="preserve"> is chosen.</w:t>
      </w:r>
    </w:p>
    <w:p w14:paraId="3B4B56FB" w14:textId="327B5DEF" w:rsidR="00C57383" w:rsidRDefault="0030472C" w:rsidP="00C57383">
      <w:r>
        <w:t>The length of the TB-level CRC depends on the</w:t>
      </w:r>
      <w:r w:rsidR="00C57383">
        <w:t xml:space="preserve"> not yet precisely-known TBS, therefore,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C57383">
        <w:t xml:space="preserve"> is used to determine the TB-level CRC length.</w:t>
      </w:r>
    </w:p>
    <w:p w14:paraId="56E2A868" w14:textId="77777777" w:rsidR="00393F5B" w:rsidRPr="00DC7360" w:rsidRDefault="00683214" w:rsidP="00B555DE">
      <w:pPr>
        <w:jc w:val="center"/>
        <w:rPr>
          <w:color w:val="1F4E79" w:themeColor="accent1" w:themeShade="80"/>
        </w:rPr>
      </w:pPr>
      <m:oMath>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r>
          <w:rPr>
            <w:rFonts w:ascii="Cambria Math" w:hAnsi="Cambria Math"/>
            <w:color w:val="1F4E79" w:themeColor="accent1" w:themeShade="80"/>
          </w:rPr>
          <m:t>=16</m:t>
        </m:r>
      </m:oMath>
      <w:r w:rsidR="00C57383" w:rsidRPr="00DC7360">
        <w:rPr>
          <w:color w:val="1F4E79" w:themeColor="accent1" w:themeShade="80"/>
        </w:rPr>
        <w:t xml:space="preserve"> if </w:t>
      </w:r>
      <m:oMath>
        <m:sSub>
          <m:sSubPr>
            <m:ctrlPr>
              <w:rPr>
                <w:rFonts w:ascii="Cambria Math" w:hAnsi="Cambria Math"/>
                <w:i/>
                <w:iCs/>
                <w:color w:val="1F4E79" w:themeColor="accent1" w:themeShade="80"/>
              </w:rPr>
            </m:ctrlPr>
          </m:sSubPr>
          <m:e>
            <m:r>
              <w:rPr>
                <w:rFonts w:ascii="Cambria Math" w:hAnsi="Cambria Math"/>
                <w:color w:val="1F4E79" w:themeColor="accent1" w:themeShade="80"/>
              </w:rPr>
              <m:t>T</m:t>
            </m:r>
          </m:e>
          <m:sub>
            <m:r>
              <w:rPr>
                <w:rFonts w:ascii="Cambria Math" w:hAnsi="Cambria Math"/>
                <w:color w:val="1F4E79" w:themeColor="accent1" w:themeShade="80"/>
              </w:rPr>
              <m:t>0</m:t>
            </m:r>
          </m:sub>
        </m:sSub>
        <m:r>
          <w:rPr>
            <w:rFonts w:ascii="Cambria Math" w:hAnsi="Cambria Math"/>
            <w:color w:val="1F4E79" w:themeColor="accent1" w:themeShade="80"/>
          </w:rPr>
          <m:t>≤3824</m:t>
        </m:r>
      </m:oMath>
      <w:r w:rsidR="00C57383" w:rsidRPr="00DC7360">
        <w:rPr>
          <w:color w:val="1F4E79" w:themeColor="accent1" w:themeShade="80"/>
        </w:rPr>
        <w:t xml:space="preserve">; </w:t>
      </w:r>
    </w:p>
    <w:p w14:paraId="2DC99242" w14:textId="70F73615" w:rsidR="00C57383" w:rsidRPr="00DC7360" w:rsidRDefault="00C57383" w:rsidP="00B555DE">
      <w:pPr>
        <w:jc w:val="center"/>
        <w:rPr>
          <w:color w:val="1F4E79" w:themeColor="accent1" w:themeShade="80"/>
        </w:rPr>
      </w:pPr>
      <w:r w:rsidRPr="00DC7360">
        <w:rPr>
          <w:color w:val="1F4E79" w:themeColor="accent1" w:themeShade="80"/>
        </w:rPr>
        <w:t xml:space="preserve">otherwise, </w:t>
      </w:r>
      <m:oMath>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r>
          <w:rPr>
            <w:rFonts w:ascii="Cambria Math" w:hAnsi="Cambria Math"/>
            <w:color w:val="1F4E79" w:themeColor="accent1" w:themeShade="80"/>
          </w:rPr>
          <m:t>=24</m:t>
        </m:r>
      </m:oMath>
      <w:r w:rsidRPr="00DC7360">
        <w:rPr>
          <w:color w:val="1F4E79" w:themeColor="accent1" w:themeShade="80"/>
        </w:rPr>
        <w:t>.</w:t>
      </w:r>
    </w:p>
    <w:p w14:paraId="56B5086B" w14:textId="0D11B2C7" w:rsidR="00C57383" w:rsidRPr="00C57383" w:rsidRDefault="00C57383" w:rsidP="00C57383">
      <w:r>
        <w:t xml:space="preserve">Once the base-graph and TB-level CRC length are decided, it can be determined whether segmentation is applied (using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instead of TBS) and, in turn, whether a 24-bit CB-level CRC is attached to every code block</w:t>
      </w:r>
    </w:p>
    <w:p w14:paraId="28E09D2A" w14:textId="77777777" w:rsidR="00C57383" w:rsidRPr="004479DD" w:rsidRDefault="00C57383" w:rsidP="00B555DE">
      <w:pPr>
        <w:jc w:val="center"/>
        <w:rPr>
          <w:iCs/>
          <w:color w:val="1F4E79" w:themeColor="accent1" w:themeShade="80"/>
        </w:rPr>
      </w:pPr>
      <w:r w:rsidRPr="004479DD">
        <w:rPr>
          <w:color w:val="1F4E79" w:themeColor="accent1" w:themeShade="80"/>
        </w:rPr>
        <w:t>No segmentation (</w:t>
      </w:r>
      <m:oMath>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CB,CRC</m:t>
            </m:r>
          </m:sub>
        </m:sSub>
        <m:r>
          <w:rPr>
            <w:rFonts w:ascii="Cambria Math" w:hAnsi="Cambria Math"/>
            <w:color w:val="1F4E79" w:themeColor="accent1" w:themeShade="80"/>
          </w:rPr>
          <m:t>=0</m:t>
        </m:r>
      </m:oMath>
      <w:r w:rsidRPr="004479DD">
        <w:rPr>
          <w:color w:val="1F4E79" w:themeColor="accent1" w:themeShade="80"/>
        </w:rPr>
        <w:t xml:space="preserve">) when </w:t>
      </w:r>
      <m:oMath>
        <m:sSub>
          <m:sSubPr>
            <m:ctrlPr>
              <w:rPr>
                <w:rFonts w:ascii="Cambria Math" w:hAnsi="Cambria Math"/>
                <w:i/>
                <w:iCs/>
                <w:color w:val="1F4E79" w:themeColor="accent1" w:themeShade="80"/>
              </w:rPr>
            </m:ctrlPr>
          </m:sSubPr>
          <m:e>
            <m:r>
              <w:rPr>
                <w:rFonts w:ascii="Cambria Math" w:hAnsi="Cambria Math"/>
                <w:color w:val="1F4E79" w:themeColor="accent1" w:themeShade="80"/>
              </w:rPr>
              <m:t>T</m:t>
            </m:r>
          </m:e>
          <m:sub>
            <m:r>
              <w:rPr>
                <w:rFonts w:ascii="Cambria Math" w:hAnsi="Cambria Math"/>
                <w:color w:val="1F4E79" w:themeColor="accent1" w:themeShade="80"/>
              </w:rPr>
              <m:t>0</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K</m:t>
            </m:r>
          </m:e>
          <m:sub>
            <m:r>
              <w:rPr>
                <w:rFonts w:ascii="Cambria Math" w:hAnsi="Cambria Math"/>
                <w:color w:val="1F4E79" w:themeColor="accent1" w:themeShade="80"/>
              </w:rPr>
              <m:t>cb</m:t>
            </m:r>
          </m:sub>
        </m:sSub>
      </m:oMath>
      <w:r w:rsidRPr="004479DD">
        <w:rPr>
          <w:iCs/>
          <w:color w:val="1F4E79" w:themeColor="accent1" w:themeShade="80"/>
        </w:rPr>
        <w:t>;</w:t>
      </w:r>
    </w:p>
    <w:p w14:paraId="10DD782A" w14:textId="65553BA7" w:rsidR="00C57383" w:rsidRPr="004479DD" w:rsidRDefault="00C57383" w:rsidP="00B555DE">
      <w:pPr>
        <w:jc w:val="center"/>
        <w:rPr>
          <w:color w:val="1F4E79" w:themeColor="accent1" w:themeShade="80"/>
        </w:rPr>
      </w:pPr>
      <w:r w:rsidRPr="004479DD">
        <w:rPr>
          <w:iCs/>
          <w:color w:val="1F4E79" w:themeColor="accent1" w:themeShade="80"/>
        </w:rPr>
        <w:t xml:space="preserve"> otherwise, the TB is segmented into more than one CB (</w:t>
      </w:r>
      <m:oMath>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r>
          <w:rPr>
            <w:rFonts w:ascii="Cambria Math" w:hAnsi="Cambria Math"/>
            <w:color w:val="1F4E79" w:themeColor="accent1" w:themeShade="80"/>
          </w:rPr>
          <m:t>=24)</m:t>
        </m:r>
      </m:oMath>
      <w:r w:rsidR="006555BB" w:rsidRPr="004479DD">
        <w:rPr>
          <w:color w:val="1F4E79" w:themeColor="accent1" w:themeShade="80"/>
        </w:rPr>
        <w:t>.</w:t>
      </w:r>
    </w:p>
    <w:p w14:paraId="4E8D797B" w14:textId="7BBB75B4" w:rsidR="00C57383" w:rsidRPr="00C57383" w:rsidRDefault="00C57383" w:rsidP="00C57383">
      <w:r w:rsidRPr="00C57383">
        <w:t>The n</w:t>
      </w:r>
      <w:r w:rsidR="003E5BD7" w:rsidRPr="00C57383">
        <w:t>umber of code blocks</w:t>
      </w:r>
      <w:r w:rsidRPr="00C57383">
        <w:t xml:space="preserve"> </w:t>
      </w:r>
      <w:r w:rsidR="00393F5B">
        <w:t xml:space="preserve">the TB is segmented into, comprehensive of the no-segmentation case, </w:t>
      </w:r>
      <w:r w:rsidRPr="00C57383">
        <w:t>is</w:t>
      </w:r>
    </w:p>
    <w:p w14:paraId="5D798848" w14:textId="6E404463" w:rsidR="00393F5B" w:rsidRPr="00DC7360" w:rsidRDefault="003E5BD7" w:rsidP="00B555DE">
      <w:pPr>
        <w:jc w:val="center"/>
        <w:rPr>
          <w:iCs/>
          <w:color w:val="1F4E79" w:themeColor="accent1" w:themeShade="80"/>
        </w:rPr>
      </w:pPr>
      <m:oMathPara>
        <m:oMath>
          <m:r>
            <w:rPr>
              <w:rFonts w:ascii="Cambria Math" w:hAnsi="Cambria Math"/>
              <w:color w:val="1F4E79" w:themeColor="accent1" w:themeShade="80"/>
            </w:rPr>
            <m:t>C= </m:t>
          </m:r>
          <m:d>
            <m:dPr>
              <m:begChr m:val="⌈"/>
              <m:endChr m:val="⌉"/>
              <m:ctrlPr>
                <w:rPr>
                  <w:rFonts w:ascii="Cambria Math" w:hAnsi="Cambria Math"/>
                  <w:i/>
                  <w:iCs/>
                  <w:color w:val="1F4E79" w:themeColor="accent1" w:themeShade="80"/>
                </w:rPr>
              </m:ctrlPr>
            </m:dPr>
            <m:e>
              <m:f>
                <m:fPr>
                  <m:ctrlPr>
                    <w:rPr>
                      <w:rFonts w:ascii="Cambria Math" w:hAnsi="Cambria Math"/>
                      <w:i/>
                      <w:iCs/>
                      <w:color w:val="1F4E79" w:themeColor="accent1" w:themeShade="80"/>
                    </w:rPr>
                  </m:ctrlPr>
                </m:fPr>
                <m:num>
                  <m:sSub>
                    <m:sSubPr>
                      <m:ctrlPr>
                        <w:rPr>
                          <w:rFonts w:ascii="Cambria Math" w:hAnsi="Cambria Math"/>
                          <w:i/>
                          <w:iCs/>
                          <w:color w:val="1F4E79" w:themeColor="accent1" w:themeShade="80"/>
                        </w:rPr>
                      </m:ctrlPr>
                    </m:sSubPr>
                    <m:e>
                      <m:r>
                        <w:rPr>
                          <w:rFonts w:ascii="Cambria Math" w:hAnsi="Cambria Math"/>
                          <w:color w:val="1F4E79" w:themeColor="accent1" w:themeShade="80"/>
                        </w:rPr>
                        <m:t>T</m:t>
                      </m:r>
                    </m:e>
                    <m:sub>
                      <m:r>
                        <w:rPr>
                          <w:rFonts w:ascii="Cambria Math" w:hAnsi="Cambria Math"/>
                          <w:color w:val="1F4E79" w:themeColor="accent1" w:themeShade="80"/>
                        </w:rPr>
                        <m:t>0</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num>
                <m:den>
                  <m:sSub>
                    <m:sSubPr>
                      <m:ctrlPr>
                        <w:rPr>
                          <w:rFonts w:ascii="Cambria Math" w:hAnsi="Cambria Math"/>
                          <w:i/>
                          <w:iCs/>
                          <w:color w:val="1F4E79" w:themeColor="accent1" w:themeShade="80"/>
                        </w:rPr>
                      </m:ctrlPr>
                    </m:sSubPr>
                    <m:e>
                      <m:r>
                        <w:rPr>
                          <w:rFonts w:ascii="Cambria Math" w:hAnsi="Cambria Math"/>
                          <w:color w:val="1F4E79" w:themeColor="accent1" w:themeShade="80"/>
                        </w:rPr>
                        <m:t>K</m:t>
                      </m:r>
                    </m:e>
                    <m:sub>
                      <m:r>
                        <w:rPr>
                          <w:rFonts w:ascii="Cambria Math" w:hAnsi="Cambria Math"/>
                          <w:color w:val="1F4E79" w:themeColor="accent1" w:themeShade="80"/>
                        </w:rPr>
                        <m:t>cb</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CB,CRC</m:t>
                      </m:r>
                    </m:sub>
                  </m:sSub>
                </m:den>
              </m:f>
            </m:e>
          </m:d>
          <m:r>
            <w:rPr>
              <w:rFonts w:ascii="Cambria Math" w:hAnsi="Cambria Math"/>
              <w:color w:val="1F4E79" w:themeColor="accent1" w:themeShade="80"/>
            </w:rPr>
            <m:t>.</m:t>
          </m:r>
        </m:oMath>
      </m:oMathPara>
    </w:p>
    <w:p w14:paraId="7C84C372" w14:textId="274B7337" w:rsidR="00393F5B" w:rsidRPr="00393F5B" w:rsidRDefault="00393F5B" w:rsidP="00393F5B">
      <w:r w:rsidRPr="00393F5B">
        <w:t>The byte-aligned code block length is</w:t>
      </w:r>
    </w:p>
    <w:p w14:paraId="3485445D" w14:textId="7E85F553" w:rsidR="002915F6" w:rsidRPr="00DC7360" w:rsidRDefault="003E5BD7" w:rsidP="00B555DE">
      <w:pPr>
        <w:jc w:val="center"/>
        <w:rPr>
          <w:color w:val="1F4E79" w:themeColor="accent1" w:themeShade="80"/>
        </w:rPr>
      </w:pPr>
      <m:oMathPara>
        <m:oMathParaPr>
          <m:jc m:val="center"/>
        </m:oMathParaPr>
        <m:oMath>
          <m:r>
            <w:rPr>
              <w:rFonts w:ascii="Cambria Math" w:hAnsi="Cambria Math"/>
              <w:color w:val="1F4E79" w:themeColor="accent1" w:themeShade="80"/>
            </w:rPr>
            <m:t>K= 8</m:t>
          </m:r>
          <m:d>
            <m:dPr>
              <m:begChr m:val="⌈"/>
              <m:endChr m:val="⌉"/>
              <m:ctrlPr>
                <w:rPr>
                  <w:rFonts w:ascii="Cambria Math" w:hAnsi="Cambria Math"/>
                  <w:i/>
                  <w:iCs/>
                  <w:color w:val="1F4E79" w:themeColor="accent1" w:themeShade="80"/>
                </w:rPr>
              </m:ctrlPr>
            </m:dPr>
            <m:e>
              <m:f>
                <m:fPr>
                  <m:ctrlPr>
                    <w:rPr>
                      <w:rFonts w:ascii="Cambria Math" w:hAnsi="Cambria Math"/>
                      <w:i/>
                      <w:iCs/>
                      <w:color w:val="1F4E79" w:themeColor="accent1" w:themeShade="80"/>
                    </w:rPr>
                  </m:ctrlPr>
                </m:fPr>
                <m:num>
                  <m:r>
                    <w:rPr>
                      <w:rFonts w:ascii="Cambria Math" w:hAnsi="Cambria Math"/>
                      <w:color w:val="1F4E79" w:themeColor="accent1" w:themeShade="80"/>
                    </w:rPr>
                    <m:t>1</m:t>
                  </m:r>
                </m:num>
                <m:den>
                  <m:r>
                    <w:rPr>
                      <w:rFonts w:ascii="Cambria Math" w:hAnsi="Cambria Math"/>
                      <w:color w:val="1F4E79" w:themeColor="accent1" w:themeShade="80"/>
                    </w:rPr>
                    <m:t>8</m:t>
                  </m:r>
                </m:den>
              </m:f>
              <m:f>
                <m:fPr>
                  <m:ctrlPr>
                    <w:rPr>
                      <w:rFonts w:ascii="Cambria Math" w:hAnsi="Cambria Math"/>
                      <w:i/>
                      <w:iCs/>
                      <w:color w:val="1F4E79" w:themeColor="accent1" w:themeShade="80"/>
                    </w:rPr>
                  </m:ctrlPr>
                </m:fPr>
                <m:num>
                  <m:sSub>
                    <m:sSubPr>
                      <m:ctrlPr>
                        <w:rPr>
                          <w:rFonts w:ascii="Cambria Math" w:hAnsi="Cambria Math"/>
                          <w:i/>
                          <w:iCs/>
                          <w:color w:val="1F4E79" w:themeColor="accent1" w:themeShade="80"/>
                        </w:rPr>
                      </m:ctrlPr>
                    </m:sSubPr>
                    <m:e>
                      <m:r>
                        <w:rPr>
                          <w:rFonts w:ascii="Cambria Math" w:hAnsi="Cambria Math"/>
                          <w:color w:val="1F4E79" w:themeColor="accent1" w:themeShade="80"/>
                        </w:rPr>
                        <m:t>T</m:t>
                      </m:r>
                    </m:e>
                    <m:sub>
                      <m:r>
                        <w:rPr>
                          <w:rFonts w:ascii="Cambria Math" w:hAnsi="Cambria Math"/>
                          <w:color w:val="1F4E79" w:themeColor="accent1" w:themeShade="80"/>
                        </w:rPr>
                        <m:t>0</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num>
                <m:den>
                  <m:r>
                    <w:rPr>
                      <w:rFonts w:ascii="Cambria Math" w:hAnsi="Cambria Math"/>
                      <w:color w:val="1F4E79" w:themeColor="accent1" w:themeShade="80"/>
                    </w:rPr>
                    <m:t>C</m:t>
                  </m:r>
                </m:den>
              </m:f>
            </m:e>
          </m:d>
          <m:r>
            <w:rPr>
              <w:rFonts w:ascii="Cambria Math" w:hAnsi="Cambria Math"/>
              <w:color w:val="1F4E79" w:themeColor="accent1" w:themeShade="80"/>
            </w:rPr>
            <m:t>.</m:t>
          </m:r>
        </m:oMath>
      </m:oMathPara>
    </w:p>
    <w:p w14:paraId="158A3027" w14:textId="77777777" w:rsidR="00393F5B" w:rsidRPr="00393F5B" w:rsidRDefault="00393F5B" w:rsidP="00393F5B">
      <w:r w:rsidRPr="00393F5B">
        <w:t>The final TB size is</w:t>
      </w:r>
    </w:p>
    <w:p w14:paraId="779C7E4C" w14:textId="0D807BD3" w:rsidR="002915F6" w:rsidRPr="00DC7360" w:rsidRDefault="003E5BD7" w:rsidP="00B555DE">
      <w:pPr>
        <w:rPr>
          <w:color w:val="1F4E79" w:themeColor="accent1" w:themeShade="80"/>
        </w:rPr>
      </w:pPr>
      <m:oMathPara>
        <m:oMathParaPr>
          <m:jc m:val="center"/>
        </m:oMathParaPr>
        <m:oMath>
          <m:r>
            <w:rPr>
              <w:rFonts w:ascii="Cambria Math" w:hAnsi="Cambria Math"/>
              <w:color w:val="1F4E79" w:themeColor="accent1" w:themeShade="80"/>
            </w:rPr>
            <m:t>TBS=K.C -</m:t>
          </m:r>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r>
            <w:rPr>
              <w:rFonts w:ascii="Cambria Math" w:hAnsi="Cambria Math"/>
              <w:color w:val="1F4E79" w:themeColor="accent1" w:themeShade="80"/>
            </w:rPr>
            <m:t>.</m:t>
          </m:r>
        </m:oMath>
      </m:oMathPara>
    </w:p>
    <w:p w14:paraId="49A613A2" w14:textId="0912CAC5" w:rsidR="002915F6" w:rsidRPr="00B555DE" w:rsidRDefault="00393F5B" w:rsidP="00393F5B">
      <w:r w:rsidRPr="00B555DE">
        <w:t>With</w:t>
      </w:r>
      <w:r w:rsidR="00B555DE" w:rsidRPr="00B555DE">
        <w:t>out</w:t>
      </w:r>
      <w:r w:rsidRPr="00B555DE">
        <w:t xml:space="preserve"> the intermediate </w:t>
      </w:r>
      <w:r w:rsidR="00B555DE" w:rsidRPr="00B555DE">
        <w:t>values</w:t>
      </w:r>
      <w:r w:rsidRPr="00B555DE">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 xml:space="preserve">, C, </m:t>
        </m:r>
        <m:r>
          <m:rPr>
            <m:sty m:val="p"/>
          </m:rPr>
          <w:rPr>
            <w:rFonts w:ascii="Cambria Math" w:hAnsi="Cambria Math"/>
          </w:rPr>
          <m:t>and</m:t>
        </m:r>
        <m:r>
          <w:rPr>
            <w:rFonts w:ascii="Cambria Math" w:hAnsi="Cambria Math"/>
          </w:rPr>
          <m:t>, K</m:t>
        </m:r>
      </m:oMath>
      <w:r w:rsidRPr="00B555DE">
        <w:t>, the TBS is</w:t>
      </w:r>
    </w:p>
    <w:p w14:paraId="37885982" w14:textId="1934D81A" w:rsidR="00FF69D6" w:rsidRPr="003E7920" w:rsidRDefault="006315FD" w:rsidP="00E12BB7">
      <w:pPr>
        <w:rPr>
          <w:color w:val="1F4E79" w:themeColor="accent1" w:themeShade="80"/>
        </w:rPr>
      </w:pPr>
      <m:oMathPara>
        <m:oMath>
          <m:r>
            <w:rPr>
              <w:rFonts w:ascii="Cambria Math" w:hAnsi="Cambria Math"/>
              <w:color w:val="1F4E79" w:themeColor="accent1" w:themeShade="80"/>
            </w:rPr>
            <m:t>TBS= 8</m:t>
          </m:r>
          <m:d>
            <m:dPr>
              <m:begChr m:val="⌈"/>
              <m:endChr m:val="⌉"/>
              <m:ctrlPr>
                <w:rPr>
                  <w:rFonts w:ascii="Cambria Math" w:hAnsi="Cambria Math"/>
                  <w:i/>
                  <w:iCs/>
                  <w:color w:val="1F4E79" w:themeColor="accent1" w:themeShade="80"/>
                </w:rPr>
              </m:ctrlPr>
            </m:dPr>
            <m:e>
              <m:f>
                <m:fPr>
                  <m:ctrlPr>
                    <w:rPr>
                      <w:rFonts w:ascii="Cambria Math" w:hAnsi="Cambria Math"/>
                      <w:i/>
                      <w:iCs/>
                      <w:color w:val="1F4E79" w:themeColor="accent1" w:themeShade="80"/>
                    </w:rPr>
                  </m:ctrlPr>
                </m:fPr>
                <m:num>
                  <m:r>
                    <w:rPr>
                      <w:rFonts w:ascii="Cambria Math" w:hAnsi="Cambria Math"/>
                      <w:color w:val="1F4E79" w:themeColor="accent1" w:themeShade="80"/>
                    </w:rPr>
                    <m:t>1</m:t>
                  </m:r>
                </m:num>
                <m:den>
                  <m:r>
                    <w:rPr>
                      <w:rFonts w:ascii="Cambria Math" w:hAnsi="Cambria Math"/>
                      <w:color w:val="1F4E79" w:themeColor="accent1" w:themeShade="80"/>
                    </w:rPr>
                    <m:t>8</m:t>
                  </m:r>
                </m:den>
              </m:f>
              <m:f>
                <m:fPr>
                  <m:ctrlPr>
                    <w:rPr>
                      <w:rFonts w:ascii="Cambria Math" w:hAnsi="Cambria Math"/>
                      <w:i/>
                      <w:iCs/>
                      <w:color w:val="1F4E79" w:themeColor="accent1" w:themeShade="80"/>
                    </w:rPr>
                  </m:ctrlPr>
                </m:fPr>
                <m:num>
                  <m:sSub>
                    <m:sSubPr>
                      <m:ctrlPr>
                        <w:rPr>
                          <w:rFonts w:ascii="Cambria Math" w:hAnsi="Cambria Math"/>
                          <w:i/>
                          <w:iCs/>
                          <w:color w:val="1F4E79" w:themeColor="accent1" w:themeShade="80"/>
                        </w:rPr>
                      </m:ctrlPr>
                    </m:sSubPr>
                    <m:e>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r>
                        <w:rPr>
                          <w:rFonts w:ascii="Cambria Math" w:hAnsi="Cambria Math"/>
                          <w:color w:val="1F4E79" w:themeColor="accent1" w:themeShade="80"/>
                        </w:rPr>
                        <m:t>+N</m:t>
                      </m:r>
                    </m:e>
                    <m:sub>
                      <m:r>
                        <w:rPr>
                          <w:rFonts w:ascii="Cambria Math" w:hAnsi="Cambria Math"/>
                          <w:color w:val="1F4E79" w:themeColor="accent1" w:themeShade="80"/>
                        </w:rPr>
                        <m:t>RE</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Q</m:t>
                      </m:r>
                    </m:e>
                    <m:sub>
                      <m:r>
                        <w:rPr>
                          <w:rFonts w:ascii="Cambria Math" w:hAnsi="Cambria Math"/>
                          <w:color w:val="1F4E79" w:themeColor="accent1" w:themeShade="80"/>
                        </w:rPr>
                        <m:t>m</m:t>
                      </m:r>
                    </m:sub>
                  </m:sSub>
                  <m:r>
                    <w:rPr>
                      <w:rFonts w:ascii="Cambria Math" w:hAnsi="Cambria Math"/>
                      <w:color w:val="1F4E79" w:themeColor="accent1" w:themeShade="80"/>
                    </w:rPr>
                    <m:t>.R.v-X</m:t>
                  </m:r>
                  <m:r>
                    <m:rPr>
                      <m:nor/>
                    </m:rPr>
                    <w:rPr>
                      <w:color w:val="1F4E79" w:themeColor="accent1" w:themeShade="80"/>
                    </w:rPr>
                    <m:t>   </m:t>
                  </m:r>
                </m:num>
                <m:den>
                  <m:d>
                    <m:dPr>
                      <m:begChr m:val="⌈"/>
                      <m:endChr m:val="⌉"/>
                      <m:ctrlPr>
                        <w:rPr>
                          <w:rFonts w:ascii="Cambria Math" w:hAnsi="Cambria Math"/>
                          <w:i/>
                          <w:iCs/>
                          <w:color w:val="1F4E79" w:themeColor="accent1" w:themeShade="80"/>
                        </w:rPr>
                      </m:ctrlPr>
                    </m:dPr>
                    <m:e>
                      <m:f>
                        <m:fPr>
                          <m:ctrlPr>
                            <w:rPr>
                              <w:rFonts w:ascii="Cambria Math" w:hAnsi="Cambria Math"/>
                              <w:i/>
                              <w:iCs/>
                              <w:color w:val="1F4E79" w:themeColor="accent1" w:themeShade="80"/>
                            </w:rPr>
                          </m:ctrlPr>
                        </m:fPr>
                        <m:num>
                          <m:sSub>
                            <m:sSubPr>
                              <m:ctrlPr>
                                <w:rPr>
                                  <w:rFonts w:ascii="Cambria Math" w:hAnsi="Cambria Math"/>
                                  <w:i/>
                                  <w:iCs/>
                                  <w:color w:val="1F4E79" w:themeColor="accent1" w:themeShade="80"/>
                                </w:rPr>
                              </m:ctrlPr>
                            </m:sSubPr>
                            <m:e>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r>
                                <w:rPr>
                                  <w:rFonts w:ascii="Cambria Math" w:hAnsi="Cambria Math"/>
                                  <w:color w:val="1F4E79" w:themeColor="accent1" w:themeShade="80"/>
                                </w:rPr>
                                <m:t>+N</m:t>
                              </m:r>
                            </m:e>
                            <m:sub>
                              <m:r>
                                <w:rPr>
                                  <w:rFonts w:ascii="Cambria Math" w:hAnsi="Cambria Math"/>
                                  <w:color w:val="1F4E79" w:themeColor="accent1" w:themeShade="80"/>
                                </w:rPr>
                                <m:t>RE</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Q</m:t>
                              </m:r>
                            </m:e>
                            <m:sub>
                              <m:r>
                                <w:rPr>
                                  <w:rFonts w:ascii="Cambria Math" w:hAnsi="Cambria Math"/>
                                  <w:color w:val="1F4E79" w:themeColor="accent1" w:themeShade="80"/>
                                </w:rPr>
                                <m:t>m</m:t>
                              </m:r>
                            </m:sub>
                          </m:sSub>
                          <m:r>
                            <w:rPr>
                              <w:rFonts w:ascii="Cambria Math" w:hAnsi="Cambria Math"/>
                              <w:color w:val="1F4E79" w:themeColor="accent1" w:themeShade="80"/>
                            </w:rPr>
                            <m:t>.R.v-X</m:t>
                          </m:r>
                          <m:r>
                            <m:rPr>
                              <m:nor/>
                            </m:rPr>
                            <w:rPr>
                              <w:color w:val="1F4E79" w:themeColor="accent1" w:themeShade="80"/>
                            </w:rPr>
                            <m:t> </m:t>
                          </m:r>
                        </m:num>
                        <m:den>
                          <m:sSub>
                            <m:sSubPr>
                              <m:ctrlPr>
                                <w:rPr>
                                  <w:rFonts w:ascii="Cambria Math" w:hAnsi="Cambria Math"/>
                                  <w:i/>
                                  <w:iCs/>
                                  <w:color w:val="1F4E79" w:themeColor="accent1" w:themeShade="80"/>
                                </w:rPr>
                              </m:ctrlPr>
                            </m:sSubPr>
                            <m:e>
                              <m:r>
                                <w:rPr>
                                  <w:rFonts w:ascii="Cambria Math" w:hAnsi="Cambria Math"/>
                                  <w:color w:val="1F4E79" w:themeColor="accent1" w:themeShade="80"/>
                                </w:rPr>
                                <m:t>K</m:t>
                              </m:r>
                            </m:e>
                            <m:sub>
                              <m:r>
                                <w:rPr>
                                  <w:rFonts w:ascii="Cambria Math" w:hAnsi="Cambria Math"/>
                                  <w:color w:val="1F4E79" w:themeColor="accent1" w:themeShade="80"/>
                                </w:rPr>
                                <m:t>cb</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CB,CRC</m:t>
                              </m:r>
                            </m:sub>
                          </m:sSub>
                        </m:den>
                      </m:f>
                    </m:e>
                  </m:d>
                </m:den>
              </m:f>
            </m:e>
          </m:d>
          <m:r>
            <w:rPr>
              <w:rFonts w:ascii="Cambria Math" w:hAnsi="Cambria Math"/>
              <w:color w:val="1F4E79" w:themeColor="accent1" w:themeShade="80"/>
            </w:rPr>
            <m:t>.</m:t>
          </m:r>
          <m:d>
            <m:dPr>
              <m:begChr m:val="⌈"/>
              <m:endChr m:val="⌉"/>
              <m:ctrlPr>
                <w:rPr>
                  <w:rFonts w:ascii="Cambria Math" w:hAnsi="Cambria Math"/>
                  <w:i/>
                  <w:iCs/>
                  <w:color w:val="1F4E79" w:themeColor="accent1" w:themeShade="80"/>
                </w:rPr>
              </m:ctrlPr>
            </m:dPr>
            <m:e>
              <m:f>
                <m:fPr>
                  <m:ctrlPr>
                    <w:rPr>
                      <w:rFonts w:ascii="Cambria Math" w:hAnsi="Cambria Math"/>
                      <w:i/>
                      <w:iCs/>
                      <w:color w:val="1F4E79" w:themeColor="accent1" w:themeShade="80"/>
                    </w:rPr>
                  </m:ctrlPr>
                </m:fPr>
                <m:num>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N</m:t>
                      </m:r>
                    </m:e>
                    <m:sub>
                      <m:r>
                        <w:rPr>
                          <w:rFonts w:ascii="Cambria Math" w:hAnsi="Cambria Math"/>
                          <w:color w:val="1F4E79" w:themeColor="accent1" w:themeShade="80"/>
                        </w:rPr>
                        <m:t>RE</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Q</m:t>
                      </m:r>
                    </m:e>
                    <m:sub>
                      <m:r>
                        <w:rPr>
                          <w:rFonts w:ascii="Cambria Math" w:hAnsi="Cambria Math"/>
                          <w:color w:val="1F4E79" w:themeColor="accent1" w:themeShade="80"/>
                        </w:rPr>
                        <m:t>m</m:t>
                      </m:r>
                    </m:sub>
                  </m:sSub>
                  <m:r>
                    <w:rPr>
                      <w:rFonts w:ascii="Cambria Math" w:hAnsi="Cambria Math"/>
                      <w:color w:val="1F4E79" w:themeColor="accent1" w:themeShade="80"/>
                    </w:rPr>
                    <m:t>.R.v-X</m:t>
                  </m:r>
                  <m:r>
                    <m:rPr>
                      <m:nor/>
                    </m:rPr>
                    <w:rPr>
                      <w:color w:val="1F4E79" w:themeColor="accent1" w:themeShade="80"/>
                    </w:rPr>
                    <m:t> </m:t>
                  </m:r>
                </m:num>
                <m:den>
                  <m:sSub>
                    <m:sSubPr>
                      <m:ctrlPr>
                        <w:rPr>
                          <w:rFonts w:ascii="Cambria Math" w:hAnsi="Cambria Math"/>
                          <w:i/>
                          <w:iCs/>
                          <w:color w:val="1F4E79" w:themeColor="accent1" w:themeShade="80"/>
                        </w:rPr>
                      </m:ctrlPr>
                    </m:sSubPr>
                    <m:e>
                      <m:r>
                        <w:rPr>
                          <w:rFonts w:ascii="Cambria Math" w:hAnsi="Cambria Math"/>
                          <w:color w:val="1F4E79" w:themeColor="accent1" w:themeShade="80"/>
                        </w:rPr>
                        <m:t>K</m:t>
                      </m:r>
                    </m:e>
                    <m:sub>
                      <m:r>
                        <w:rPr>
                          <w:rFonts w:ascii="Cambria Math" w:hAnsi="Cambria Math"/>
                          <w:color w:val="1F4E79" w:themeColor="accent1" w:themeShade="80"/>
                        </w:rPr>
                        <m:t>cb</m:t>
                      </m:r>
                    </m:sub>
                  </m:sSub>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CB,CRC</m:t>
                      </m:r>
                    </m:sub>
                  </m:sSub>
                </m:den>
              </m:f>
            </m:e>
          </m:d>
          <m:r>
            <w:rPr>
              <w:rFonts w:ascii="Cambria Math" w:hAnsi="Cambria Math"/>
              <w:color w:val="1F4E79" w:themeColor="accent1" w:themeShade="80"/>
            </w:rPr>
            <m:t>-</m:t>
          </m:r>
          <m:sSub>
            <m:sSubPr>
              <m:ctrlPr>
                <w:rPr>
                  <w:rFonts w:ascii="Cambria Math" w:hAnsi="Cambria Math"/>
                  <w:i/>
                  <w:iCs/>
                  <w:color w:val="1F4E79" w:themeColor="accent1" w:themeShade="80"/>
                </w:rPr>
              </m:ctrlPr>
            </m:sSubPr>
            <m:e>
              <m:r>
                <w:rPr>
                  <w:rFonts w:ascii="Cambria Math" w:hAnsi="Cambria Math"/>
                  <w:color w:val="1F4E79" w:themeColor="accent1" w:themeShade="80"/>
                </w:rPr>
                <m:t>L</m:t>
              </m:r>
            </m:e>
            <m:sub>
              <m:r>
                <w:rPr>
                  <w:rFonts w:ascii="Cambria Math" w:hAnsi="Cambria Math"/>
                  <w:color w:val="1F4E79" w:themeColor="accent1" w:themeShade="80"/>
                </w:rPr>
                <m:t>TB,CRC</m:t>
              </m:r>
            </m:sub>
          </m:sSub>
          <m:r>
            <w:rPr>
              <w:rFonts w:ascii="Cambria Math" w:hAnsi="Cambria Math"/>
              <w:color w:val="1F4E79" w:themeColor="accent1" w:themeShade="80"/>
            </w:rPr>
            <m:t>.</m:t>
          </m:r>
        </m:oMath>
      </m:oMathPara>
    </w:p>
    <w:p w14:paraId="2857B9AF" w14:textId="4E8C49FC" w:rsidR="00170931" w:rsidRDefault="00170931" w:rsidP="00170931">
      <w:pPr>
        <w:pStyle w:val="Heading1"/>
      </w:pPr>
      <w:bookmarkStart w:id="3" w:name="_Ref498628004"/>
      <w:r>
        <w:t>Compatibility with RAN1 Agreements</w:t>
      </w:r>
      <w:bookmarkEnd w:id="3"/>
    </w:p>
    <w:p w14:paraId="4BCC3862" w14:textId="2D56E350" w:rsidR="00D039DC" w:rsidRDefault="000C3803" w:rsidP="00D039DC">
      <w:pPr>
        <w:pStyle w:val="Heading2"/>
      </w:pPr>
      <w:bookmarkStart w:id="4" w:name="_Ref498639255"/>
      <w:r>
        <w:t>Segmentation</w:t>
      </w:r>
      <w:bookmarkEnd w:id="4"/>
    </w:p>
    <w:p w14:paraId="5ADECA27" w14:textId="448EE0CF" w:rsidR="00A50F03" w:rsidRDefault="00D57944" w:rsidP="00C01C99">
      <w:pPr>
        <w:jc w:val="both"/>
        <w:rPr>
          <w:iCs/>
        </w:rPr>
      </w:pPr>
      <w:r>
        <w:rPr>
          <w:lang w:val="en-GB"/>
        </w:rPr>
        <w:t xml:space="preserve">In the proposed procedure, segmentation does not occur and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CB,CRC</m:t>
            </m:r>
          </m:sub>
        </m:sSub>
        <m:r>
          <w:rPr>
            <w:rFonts w:ascii="Cambria Math" w:hAnsi="Cambria Math"/>
            <w:lang w:val="en-GB"/>
          </w:rPr>
          <m:t>=0</m:t>
        </m:r>
      </m:oMath>
      <w:r>
        <w:rPr>
          <w:lang w:val="en-GB"/>
        </w:rPr>
        <w:t xml:space="preserve"> if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TB,CRC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cb</m:t>
            </m:r>
          </m:sub>
        </m:sSub>
      </m:oMath>
      <w:r>
        <w:rPr>
          <w:lang w:val="en-GB"/>
        </w:rPr>
        <w:t xml:space="preserve">. Substituting these values into the proposed TBS code block count equation </w:t>
      </w:r>
      <m:oMath>
        <m:r>
          <w:rPr>
            <w:rFonts w:ascii="Cambria Math" w:hAnsi="Cambria Math"/>
            <w:lang w:val="en-GB"/>
          </w:rPr>
          <m:t>C</m:t>
        </m:r>
        <m:r>
          <w:rPr>
            <w:rFonts w:ascii="Cambria Math" w:hAnsi="Cambria Math"/>
          </w:rPr>
          <m:t>= </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oMath>
      <w:r>
        <w:rPr>
          <w:iCs/>
        </w:rPr>
        <w:t xml:space="preserve"> yields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sSub>
                  <m:sSubPr>
                    <m:ctrlPr>
                      <w:rPr>
                        <w:rFonts w:ascii="Cambria Math" w:hAnsi="Cambria Math"/>
                        <w:i/>
                        <w:iCs/>
                      </w:rPr>
                    </m:ctrlPr>
                  </m:sSubPr>
                  <m:e>
                    <m:r>
                      <w:rPr>
                        <w:rFonts w:ascii="Cambria Math" w:hAnsi="Cambria Math"/>
                      </w:rPr>
                      <m:t>K</m:t>
                    </m:r>
                  </m:e>
                  <m:sub>
                    <m:r>
                      <w:rPr>
                        <w:rFonts w:ascii="Cambria Math" w:hAnsi="Cambria Math"/>
                      </w:rPr>
                      <m:t>cb</m:t>
                    </m:r>
                  </m:sub>
                </m:sSub>
              </m:den>
            </m:f>
          </m:e>
        </m:d>
        <m:r>
          <w:rPr>
            <w:rFonts w:ascii="Cambria Math" w:hAnsi="Cambria Math"/>
          </w:rPr>
          <m:t>=1</m:t>
        </m:r>
      </m:oMath>
      <w:r>
        <w:rPr>
          <w:iCs/>
        </w:rPr>
        <w:t>. The TBS calculation equation yields</w:t>
      </w:r>
      <w:r w:rsidR="00A50F03">
        <w:rPr>
          <w:iCs/>
        </w:rPr>
        <w:t xml:space="preserve"> </w:t>
      </w:r>
      <m:oMath>
        <m:r>
          <w:rPr>
            <w:rFonts w:ascii="Cambria Math" w:hAnsi="Cambria Math"/>
          </w:rPr>
          <m:t>TBS=8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+T</m:t>
                </m:r>
              </m:e>
              <m:sub>
                <m:r>
                  <w:rPr>
                    <w:rFonts w:ascii="Cambria Math" w:hAnsi="Cambria Math"/>
                  </w:rPr>
                  <m:t>0</m:t>
                </m:r>
              </m:sub>
            </m:sSub>
            <m:r>
              <w:rPr>
                <w:rFonts w:ascii="Cambria Math" w:hAnsi="Cambria Math"/>
              </w:rPr>
              <m:t>)</m:t>
            </m:r>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00A50F03">
        <w:rPr>
          <w:iCs/>
        </w:rPr>
        <w:t xml:space="preserve"> and </w:t>
      </w:r>
      <m:oMath>
        <m:r>
          <w:rPr>
            <w:rFonts w:ascii="Cambria Math" w:hAnsi="Cambria Math"/>
          </w:rPr>
          <m:t>TBS≤8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sSub>
              <m:sSubPr>
                <m:ctrlPr>
                  <w:rPr>
                    <w:rFonts w:ascii="Cambria Math" w:hAnsi="Cambria Math"/>
                    <w:i/>
                    <w:iCs/>
                  </w:rPr>
                </m:ctrlPr>
              </m:sSubPr>
              <m:e>
                <m:r>
                  <w:rPr>
                    <w:rFonts w:ascii="Cambria Math" w:hAnsi="Cambria Math"/>
                  </w:rPr>
                  <m:t>K</m:t>
                </m:r>
              </m:e>
              <m:sub>
                <m:r>
                  <w:rPr>
                    <w:rFonts w:ascii="Cambria Math" w:hAnsi="Cambria Math"/>
                  </w:rPr>
                  <m:t>cb</m:t>
                </m:r>
              </m:sub>
            </m:sSub>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00A50F03">
        <w:rPr>
          <w:iCs/>
        </w:rPr>
        <w:t xml:space="preserve">. Since both values of </w:t>
      </w:r>
      <m:oMath>
        <m:sSub>
          <m:sSubPr>
            <m:ctrlPr>
              <w:rPr>
                <w:rFonts w:ascii="Cambria Math" w:hAnsi="Cambria Math"/>
                <w:i/>
                <w:iCs/>
              </w:rPr>
            </m:ctrlPr>
          </m:sSubPr>
          <m:e>
            <m:r>
              <w:rPr>
                <w:rFonts w:ascii="Cambria Math" w:hAnsi="Cambria Math"/>
              </w:rPr>
              <m:t>K</m:t>
            </m:r>
          </m:e>
          <m:sub>
            <m:r>
              <w:rPr>
                <w:rFonts w:ascii="Cambria Math" w:hAnsi="Cambria Math"/>
              </w:rPr>
              <m:t>cb</m:t>
            </m:r>
          </m:sub>
        </m:sSub>
      </m:oMath>
      <w:r w:rsidR="00A50F03">
        <w:rPr>
          <w:iCs/>
        </w:rPr>
        <w:t xml:space="preserve"> (8448 and 3840) are divisible by 8, therefore: </w:t>
      </w:r>
      <m:oMath>
        <m:r>
          <w:rPr>
            <w:rFonts w:ascii="Cambria Math" w:hAnsi="Cambria Math"/>
          </w:rPr>
          <m:t>TBS≤</m:t>
        </m:r>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00A50F03">
        <w:rPr>
          <w:iCs/>
        </w:rPr>
        <w:t xml:space="preserve">. Finally, </w:t>
      </w:r>
      <m:oMath>
        <m:r>
          <w:rPr>
            <w:rFonts w:ascii="Cambria Math" w:hAnsi="Cambria Math"/>
          </w:rPr>
          <m:t>TBS+</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cb</m:t>
            </m:r>
          </m:sub>
        </m:sSub>
      </m:oMath>
      <w:r w:rsidR="00A50F03">
        <w:rPr>
          <w:iCs/>
        </w:rPr>
        <w:t xml:space="preserve"> when no segmentation is applied according to the proposed procedure. This agrees with the segmentation rules in </w:t>
      </w:r>
      <w:r w:rsidR="00DC7360">
        <w:rPr>
          <w:iCs/>
        </w:rPr>
        <w:t>Agreements 4</w:t>
      </w:r>
      <w:r w:rsidR="00ED4C2A">
        <w:rPr>
          <w:iCs/>
        </w:rPr>
        <w:t xml:space="preserve"> and 7</w:t>
      </w:r>
      <w:r w:rsidR="004479DD">
        <w:rPr>
          <w:iCs/>
        </w:rPr>
        <w:t>.</w:t>
      </w:r>
    </w:p>
    <w:p w14:paraId="50FF2271" w14:textId="101F0274" w:rsidR="004479DD" w:rsidRDefault="004479DD" w:rsidP="00C01C99">
      <w:pPr>
        <w:jc w:val="both"/>
        <w:rPr>
          <w:iCs/>
        </w:rPr>
      </w:pPr>
      <w:r w:rsidRPr="004479DD">
        <w:rPr>
          <w:b/>
          <w:iCs/>
          <w:u w:val="single"/>
        </w:rPr>
        <w:t xml:space="preserve">Observation </w:t>
      </w:r>
      <w:r w:rsidR="00F43EAB">
        <w:rPr>
          <w:b/>
          <w:iCs/>
          <w:u w:val="single"/>
        </w:rPr>
        <w:t>2</w:t>
      </w:r>
      <w:r w:rsidRPr="004479DD">
        <w:rPr>
          <w:b/>
          <w:iCs/>
          <w:u w:val="single"/>
        </w:rPr>
        <w:t>:</w:t>
      </w:r>
      <w:r>
        <w:rPr>
          <w:iCs/>
        </w:rPr>
        <w:t xml:space="preserve"> the proposed </w:t>
      </w:r>
      <w:r w:rsidR="002118E5">
        <w:rPr>
          <w:iCs/>
        </w:rPr>
        <w:t>procedure</w:t>
      </w:r>
      <w:r>
        <w:rPr>
          <w:iCs/>
        </w:rPr>
        <w:t xml:space="preserve"> satisfies the segmentation conditions in the agreements.</w:t>
      </w:r>
    </w:p>
    <w:p w14:paraId="24527954" w14:textId="7C1797F4" w:rsidR="00DC7360" w:rsidRDefault="00DC7360" w:rsidP="00C01C99">
      <w:pPr>
        <w:pStyle w:val="Heading2"/>
        <w:jc w:val="both"/>
      </w:pPr>
      <w:bookmarkStart w:id="5" w:name="_Ref498641756"/>
      <w:r>
        <w:t>CRC Lengths</w:t>
      </w:r>
      <w:bookmarkEnd w:id="5"/>
    </w:p>
    <w:p w14:paraId="302D6AA5" w14:textId="52F61B0D" w:rsidR="00DC7360" w:rsidRDefault="004479DD" w:rsidP="00C01C99">
      <w:pPr>
        <w:jc w:val="both"/>
        <w:rPr>
          <w:iCs/>
        </w:rPr>
      </w:pPr>
      <w:r w:rsidRPr="004479DD">
        <w:rPr>
          <w:lang w:val="en-GB"/>
        </w:rPr>
        <w:t xml:space="preserve">The length of the TB CRC is 16 in the proposed scheme when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t xml:space="preserve">. Since the segmentation agreements are already satisfied as discussed in Section </w:t>
      </w:r>
      <w:r>
        <w:fldChar w:fldCharType="begin"/>
      </w:r>
      <w:r>
        <w:instrText xml:space="preserve"> REF _Ref498639255 \r \h </w:instrText>
      </w:r>
      <w:r w:rsidR="00C01C99">
        <w:instrText xml:space="preserve"> \* MERGEFORMAT </w:instrText>
      </w:r>
      <w:r>
        <w:fldChar w:fldCharType="separate"/>
      </w:r>
      <w:r w:rsidR="001418AE">
        <w:t>3.1</w:t>
      </w:r>
      <w:r>
        <w:fldChar w:fldCharType="end"/>
      </w:r>
      <w:r>
        <w:t>, it is assumed that the number of code blocks is 1</w:t>
      </w:r>
      <w:r w:rsidR="00294E8E">
        <w:t xml:space="preserve"> when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00294E8E">
        <w:t xml:space="preserve">. The TBS calculation becomes </w:t>
      </w:r>
      <m:oMath>
        <m:r>
          <w:rPr>
            <w:rFonts w:ascii="Cambria Math" w:hAnsi="Cambria Math"/>
          </w:rPr>
          <m:t>TBS=8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d>
              <m:dPr>
                <m:ctrlPr>
                  <w:rPr>
                    <w:rFonts w:ascii="Cambria Math" w:hAnsi="Cambria Math"/>
                    <w:i/>
                    <w:iCs/>
                  </w:rPr>
                </m:ctrlPr>
              </m:dPr>
              <m:e>
                <m:r>
                  <w:rPr>
                    <w:rFonts w:ascii="Cambria Math" w:hAnsi="Cambria Math"/>
                  </w:rPr>
                  <m:t>16+</m:t>
                </m:r>
                <m:sSub>
                  <m:sSubPr>
                    <m:ctrlPr>
                      <w:rPr>
                        <w:rFonts w:ascii="Cambria Math" w:hAnsi="Cambria Math"/>
                        <w:i/>
                      </w:rPr>
                    </m:ctrlPr>
                  </m:sSubPr>
                  <m:e>
                    <m:r>
                      <w:rPr>
                        <w:rFonts w:ascii="Cambria Math" w:hAnsi="Cambria Math"/>
                      </w:rPr>
                      <m:t>T</m:t>
                    </m:r>
                  </m:e>
                  <m:sub>
                    <m:r>
                      <w:rPr>
                        <w:rFonts w:ascii="Cambria Math" w:hAnsi="Cambria Math"/>
                      </w:rPr>
                      <m:t>0</m:t>
                    </m:r>
                  </m:sub>
                </m:sSub>
                <m:ctrlPr>
                  <w:rPr>
                    <w:rFonts w:ascii="Cambria Math" w:hAnsi="Cambria Math"/>
                    <w:i/>
                  </w:rPr>
                </m:ctrlPr>
              </m:e>
            </m:d>
          </m:e>
        </m:d>
        <m:r>
          <w:rPr>
            <w:rFonts w:ascii="Cambria Math" w:hAnsi="Cambria Math"/>
          </w:rPr>
          <m:t>-16≤ 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d>
              <m:dPr>
                <m:ctrlPr>
                  <w:rPr>
                    <w:rFonts w:ascii="Cambria Math" w:hAnsi="Cambria Math"/>
                    <w:i/>
                    <w:iCs/>
                  </w:rPr>
                </m:ctrlPr>
              </m:dPr>
              <m:e>
                <m:r>
                  <w:rPr>
                    <w:rFonts w:ascii="Cambria Math" w:hAnsi="Cambria Math"/>
                  </w:rPr>
                  <m:t>16+3824</m:t>
                </m:r>
                <m:ctrlPr>
                  <w:rPr>
                    <w:rFonts w:ascii="Cambria Math" w:hAnsi="Cambria Math"/>
                    <w:i/>
                  </w:rPr>
                </m:ctrlPr>
              </m:e>
            </m:d>
          </m:e>
        </m:d>
        <m:r>
          <w:rPr>
            <w:rFonts w:ascii="Cambria Math" w:hAnsi="Cambria Math"/>
          </w:rPr>
          <m:t>-16</m:t>
        </m:r>
      </m:oMath>
      <w:r w:rsidR="00294E8E">
        <w:rPr>
          <w:iCs/>
        </w:rPr>
        <w:t xml:space="preserve">. Finally, </w:t>
      </w:r>
      <m:oMath>
        <m:r>
          <w:rPr>
            <w:rFonts w:ascii="Cambria Math" w:hAnsi="Cambria Math"/>
          </w:rPr>
          <m:t>TBS≤3824</m:t>
        </m:r>
      </m:oMath>
      <w:r w:rsidR="00294E8E">
        <w:rPr>
          <w:iCs/>
        </w:rPr>
        <w:t>, satisfying Agreement 6.</w:t>
      </w:r>
    </w:p>
    <w:p w14:paraId="5FFE3A96" w14:textId="342F39BD" w:rsidR="00294E8E" w:rsidRDefault="00294E8E" w:rsidP="00C01C99">
      <w:pPr>
        <w:jc w:val="both"/>
        <w:rPr>
          <w:iCs/>
        </w:rPr>
      </w:pPr>
      <w:r>
        <w:rPr>
          <w:iCs/>
        </w:rPr>
        <w:t xml:space="preserve">Since the length of the CB-level CRC is a direct result of the whether segmentation is applied or not, it can be observed that the proposed </w:t>
      </w:r>
      <w:r w:rsidR="00ED4C2A">
        <w:rPr>
          <w:iCs/>
        </w:rPr>
        <w:t>procedure correctly</w:t>
      </w:r>
      <w:r>
        <w:rPr>
          <w:iCs/>
        </w:rPr>
        <w:t xml:space="preserve"> sets the CRC-level CRC length</w:t>
      </w:r>
      <w:r w:rsidR="00ED4C2A">
        <w:rPr>
          <w:iCs/>
        </w:rPr>
        <w:t>, satisfying Agreements 8 and 9.</w:t>
      </w:r>
    </w:p>
    <w:p w14:paraId="12C6D06B" w14:textId="54DBDA82" w:rsidR="002118E5" w:rsidRDefault="00F43EAB" w:rsidP="00C01C99">
      <w:pPr>
        <w:jc w:val="both"/>
        <w:rPr>
          <w:iCs/>
        </w:rPr>
      </w:pPr>
      <w:r>
        <w:rPr>
          <w:b/>
          <w:iCs/>
          <w:u w:val="single"/>
        </w:rPr>
        <w:t>Observation 3</w:t>
      </w:r>
      <w:r w:rsidR="002118E5" w:rsidRPr="002118E5">
        <w:rPr>
          <w:b/>
          <w:iCs/>
          <w:u w:val="single"/>
        </w:rPr>
        <w:t>:</w:t>
      </w:r>
      <w:r w:rsidR="002118E5">
        <w:rPr>
          <w:iCs/>
        </w:rPr>
        <w:t xml:space="preserve"> the proposed procedure yields the correct TB-level and CB-level CRC lengths.</w:t>
      </w:r>
    </w:p>
    <w:p w14:paraId="73622D00" w14:textId="059D6CCB" w:rsidR="000D542B" w:rsidRDefault="00DF2B67" w:rsidP="00C01C99">
      <w:pPr>
        <w:pStyle w:val="Heading2"/>
        <w:jc w:val="both"/>
      </w:pPr>
      <w:r>
        <w:t>Base-graph Determination</w:t>
      </w:r>
    </w:p>
    <w:p w14:paraId="03636A96" w14:textId="05013042" w:rsidR="00DF2B67" w:rsidRDefault="00DF2B67" w:rsidP="00C01C99">
      <w:pPr>
        <w:jc w:val="both"/>
        <w:rPr>
          <w:lang w:val="en-GB"/>
        </w:rPr>
      </w:pPr>
      <w:r>
        <w:rPr>
          <w:lang w:val="en-GB"/>
        </w:rPr>
        <w:t xml:space="preserve">The rate portion in the BG2 selection can be directly checked from the MCS entry. Since the case where BG2 is chosen for </w:t>
      </w:r>
      <m:oMath>
        <m:r>
          <w:rPr>
            <w:rFonts w:ascii="Cambria Math" w:hAnsi="Cambria Math"/>
            <w:lang w:val="en-GB"/>
          </w:rPr>
          <m:t>R≤1/4</m:t>
        </m:r>
      </m:oMath>
      <w:r>
        <w:rPr>
          <w:lang w:val="en-GB"/>
        </w:rPr>
        <w:t xml:space="preserve"> is independent of the TBS, it is solely checked via code rate in the MCS entry and is satisfied in the proposed scheme (Agreement 4).</w:t>
      </w:r>
    </w:p>
    <w:p w14:paraId="2FBAD1FE" w14:textId="1C95ADBF" w:rsidR="00DF2B67" w:rsidRDefault="00DF2B67" w:rsidP="00C01C99">
      <w:pPr>
        <w:jc w:val="both"/>
        <w:rPr>
          <w:lang w:val="en-GB"/>
        </w:rPr>
      </w:pPr>
      <w:r>
        <w:rPr>
          <w:lang w:val="en-GB"/>
        </w:rPr>
        <w:t xml:space="preserve">The CBS check in </w:t>
      </w:r>
      <w:r w:rsidR="00E00337">
        <w:rPr>
          <w:lang w:val="en-GB"/>
        </w:rPr>
        <w:t>the</w:t>
      </w:r>
      <w:r>
        <w:rPr>
          <w:lang w:val="en-GB"/>
        </w:rPr>
        <w:t xml:space="preserve"> case </w:t>
      </w:r>
      <m:oMath>
        <m:r>
          <w:rPr>
            <w:rFonts w:ascii="Cambria Math" w:hAnsi="Cambria Math"/>
            <w:lang w:val="en-GB"/>
          </w:rPr>
          <m:t xml:space="preserve">R≤0.67 </m:t>
        </m:r>
        <m:r>
          <m:rPr>
            <m:sty m:val="p"/>
          </m:rPr>
          <w:rPr>
            <w:rFonts w:ascii="Cambria Math" w:hAnsi="Cambria Math"/>
            <w:lang w:val="en-GB"/>
          </w:rPr>
          <m:t>and</m:t>
        </m:r>
        <m:r>
          <w:rPr>
            <w:rFonts w:ascii="Cambria Math" w:hAnsi="Cambria Math"/>
            <w:lang w:val="en-GB"/>
          </w:rPr>
          <m:t xml:space="preserve"> CBS≤3840</m:t>
        </m:r>
      </m:oMath>
      <w:r>
        <w:rPr>
          <w:lang w:val="en-GB"/>
        </w:rPr>
        <w:t xml:space="preserve"> </w:t>
      </w:r>
      <w:r w:rsidR="00E00337">
        <w:rPr>
          <w:lang w:val="en-GB"/>
        </w:rPr>
        <w:t xml:space="preserve">is the equivalent to checking whether the TB is small with a 16-bit TB-level CRC, which the procedure is shown to perform correctly in Section </w:t>
      </w:r>
      <w:r w:rsidR="00E00337">
        <w:rPr>
          <w:lang w:val="en-GB"/>
        </w:rPr>
        <w:fldChar w:fldCharType="begin"/>
      </w:r>
      <w:r w:rsidR="00E00337">
        <w:rPr>
          <w:lang w:val="en-GB"/>
        </w:rPr>
        <w:instrText xml:space="preserve"> REF _Ref498641756 \r \h </w:instrText>
      </w:r>
      <w:r w:rsidR="00C01C99">
        <w:rPr>
          <w:lang w:val="en-GB"/>
        </w:rPr>
        <w:instrText xml:space="preserve"> \* MERGEFORMAT </w:instrText>
      </w:r>
      <w:r w:rsidR="00E00337">
        <w:rPr>
          <w:lang w:val="en-GB"/>
        </w:rPr>
      </w:r>
      <w:r w:rsidR="00E00337">
        <w:rPr>
          <w:lang w:val="en-GB"/>
        </w:rPr>
        <w:fldChar w:fldCharType="separate"/>
      </w:r>
      <w:r w:rsidR="001418AE">
        <w:rPr>
          <w:lang w:val="en-GB"/>
        </w:rPr>
        <w:t>3.2</w:t>
      </w:r>
      <w:r w:rsidR="00E00337">
        <w:rPr>
          <w:lang w:val="en-GB"/>
        </w:rPr>
        <w:fldChar w:fldCharType="end"/>
      </w:r>
      <w:r w:rsidR="00E00337">
        <w:rPr>
          <w:lang w:val="en-GB"/>
        </w:rPr>
        <w:t>. Therefore, the proposed procedure satisfied Agreement 1 and 2.</w:t>
      </w:r>
    </w:p>
    <w:p w14:paraId="72101F1F" w14:textId="207250C5" w:rsidR="005937E0" w:rsidRDefault="00E00337" w:rsidP="00C01C99">
      <w:pPr>
        <w:jc w:val="both"/>
        <w:rPr>
          <w:lang w:val="en-GB"/>
        </w:rPr>
      </w:pPr>
      <w:r>
        <w:rPr>
          <w:lang w:val="en-GB"/>
        </w:rPr>
        <w:t xml:space="preserve">The final case for choosing BG2 is defined in the RAN1 agreement as </w:t>
      </w:r>
      <m:oMath>
        <m:r>
          <w:rPr>
            <w:rFonts w:ascii="Cambria Math" w:hAnsi="Cambria Math"/>
            <w:lang w:val="en-GB"/>
          </w:rPr>
          <m:t>CBS≤308</m:t>
        </m:r>
      </m:oMath>
      <w:r>
        <w:rPr>
          <w:lang w:val="en-GB"/>
        </w:rPr>
        <w:t xml:space="preserve">. This equivalent to </w:t>
      </w:r>
      <m:oMath>
        <m:r>
          <w:rPr>
            <w:rFonts w:ascii="Cambria Math" w:hAnsi="Cambria Math"/>
            <w:lang w:val="en-GB"/>
          </w:rPr>
          <m:t>TBS≤292</m:t>
        </m:r>
      </m:oMath>
      <w:r>
        <w:rPr>
          <w:lang w:val="en-GB"/>
        </w:rPr>
        <w:t xml:space="preserve">. Since the TBS must be byte-aligned, the largest TBS that satisfies is constraint is 288. It can be verified using a similar method to that in Section </w:t>
      </w:r>
      <w:r>
        <w:rPr>
          <w:lang w:val="en-GB"/>
        </w:rPr>
        <w:fldChar w:fldCharType="begin"/>
      </w:r>
      <w:r>
        <w:rPr>
          <w:lang w:val="en-GB"/>
        </w:rPr>
        <w:instrText xml:space="preserve"> REF _Ref498641756 \r \h </w:instrText>
      </w:r>
      <w:r w:rsidR="00C01C99">
        <w:rPr>
          <w:lang w:val="en-GB"/>
        </w:rPr>
        <w:instrText xml:space="preserve"> \* MERGEFORMAT </w:instrText>
      </w:r>
      <w:r>
        <w:rPr>
          <w:lang w:val="en-GB"/>
        </w:rPr>
      </w:r>
      <w:r>
        <w:rPr>
          <w:lang w:val="en-GB"/>
        </w:rPr>
        <w:fldChar w:fldCharType="separate"/>
      </w:r>
      <w:r w:rsidR="001418AE">
        <w:rPr>
          <w:lang w:val="en-GB"/>
        </w:rPr>
        <w:t>3.2</w:t>
      </w:r>
      <w:r>
        <w:rPr>
          <w:lang w:val="en-GB"/>
        </w:rPr>
        <w:fldChar w:fldCharType="end"/>
      </w:r>
      <w:r>
        <w:rPr>
          <w:lang w:val="en-GB"/>
        </w:rPr>
        <w:t xml:space="preserve"> that the proposed constraint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0</m:t>
            </m:r>
          </m:sub>
        </m:sSub>
        <m:r>
          <w:rPr>
            <w:rFonts w:ascii="Cambria Math" w:hAnsi="Cambria Math"/>
            <w:lang w:val="en-GB"/>
          </w:rPr>
          <m:t>≤288</m:t>
        </m:r>
      </m:oMath>
      <w:r>
        <w:rPr>
          <w:lang w:val="en-GB"/>
        </w:rPr>
        <w:t xml:space="preserve"> leads to</w:t>
      </w:r>
      <w:r w:rsidR="005937E0">
        <w:rPr>
          <w:lang w:val="en-GB"/>
        </w:rPr>
        <w:t xml:space="preserve"> a final TBS that satisfies the constraint in Agreement 3.</w:t>
      </w:r>
    </w:p>
    <w:p w14:paraId="725E782D" w14:textId="722A3373" w:rsidR="00E00337" w:rsidRPr="00DF2B67" w:rsidRDefault="005937E0" w:rsidP="00C01C99">
      <w:pPr>
        <w:jc w:val="both"/>
        <w:rPr>
          <w:lang w:val="en-GB"/>
        </w:rPr>
      </w:pPr>
      <w:r w:rsidRPr="005937E0">
        <w:rPr>
          <w:b/>
          <w:u w:val="single"/>
          <w:lang w:val="en-GB"/>
        </w:rPr>
        <w:t xml:space="preserve">Observation </w:t>
      </w:r>
      <w:r w:rsidR="00F43EAB">
        <w:rPr>
          <w:b/>
          <w:u w:val="single"/>
          <w:lang w:val="en-GB"/>
        </w:rPr>
        <w:t>4</w:t>
      </w:r>
      <w:r>
        <w:rPr>
          <w:lang w:val="en-GB"/>
        </w:rPr>
        <w:t>: the proposed procedure yields the correct base-graph choice in accordance with RAN1 agreements.</w:t>
      </w:r>
      <w:r w:rsidR="00E00337">
        <w:rPr>
          <w:lang w:val="en-GB"/>
        </w:rPr>
        <w:t xml:space="preserve"> </w:t>
      </w:r>
    </w:p>
    <w:p w14:paraId="211C663E" w14:textId="5C321F00" w:rsidR="00294E8E" w:rsidRDefault="00ED4C2A" w:rsidP="00ED4C2A">
      <w:pPr>
        <w:pStyle w:val="Heading2"/>
      </w:pPr>
      <w:r>
        <w:t>Other Properties</w:t>
      </w:r>
    </w:p>
    <w:p w14:paraId="031BC282" w14:textId="77777777" w:rsidR="00ED4C2A" w:rsidRDefault="00ED4C2A" w:rsidP="00ED4C2A">
      <w:pPr>
        <w:pStyle w:val="ListParagraph"/>
        <w:numPr>
          <w:ilvl w:val="0"/>
          <w:numId w:val="20"/>
        </w:numPr>
        <w:rPr>
          <w:lang w:val="en-GB"/>
        </w:rPr>
      </w:pPr>
      <w:r>
        <w:rPr>
          <w:lang w:val="en-GB"/>
        </w:rPr>
        <w:t>The CBS is explicitly byte-aligned. Therefore:</w:t>
      </w:r>
    </w:p>
    <w:p w14:paraId="5B01AD16" w14:textId="77777777" w:rsidR="00ED4C2A" w:rsidRDefault="00ED4C2A" w:rsidP="00ED4C2A">
      <w:pPr>
        <w:pStyle w:val="ListParagraph"/>
        <w:numPr>
          <w:ilvl w:val="1"/>
          <w:numId w:val="20"/>
        </w:numPr>
        <w:rPr>
          <w:lang w:val="en-GB"/>
        </w:rPr>
      </w:pPr>
      <w:r>
        <w:rPr>
          <w:lang w:val="en-GB"/>
        </w:rPr>
        <w:t>For a small TB, the TBS = CBS - 16, which is also byte aligned (Agreement 12).</w:t>
      </w:r>
    </w:p>
    <w:p w14:paraId="6A59FB7F" w14:textId="1EA87E3C" w:rsidR="00ED4C2A" w:rsidRDefault="00ED4C2A" w:rsidP="00ED4C2A">
      <w:pPr>
        <w:pStyle w:val="ListParagraph"/>
        <w:numPr>
          <w:ilvl w:val="1"/>
          <w:numId w:val="20"/>
        </w:numPr>
        <w:rPr>
          <w:lang w:val="en-GB"/>
        </w:rPr>
      </w:pPr>
      <w:r>
        <w:rPr>
          <w:lang w:val="en-GB"/>
        </w:rPr>
        <w:t>For a large TB, the TBS is an integer multiple of the CBS - 24, which is also byte aligned (Agreement 12).</w:t>
      </w:r>
    </w:p>
    <w:p w14:paraId="6A8F7A1D" w14:textId="77777777" w:rsidR="00E00337" w:rsidRDefault="00E00337" w:rsidP="00454843">
      <w:pPr>
        <w:rPr>
          <w:b/>
          <w:u w:val="single"/>
          <w:lang w:val="en-GB"/>
        </w:rPr>
      </w:pPr>
    </w:p>
    <w:p w14:paraId="40FF8330" w14:textId="7CFEC01F" w:rsidR="00454843" w:rsidRDefault="00454843" w:rsidP="00454843">
      <w:pPr>
        <w:rPr>
          <w:lang w:val="en-GB"/>
        </w:rPr>
      </w:pPr>
      <w:r w:rsidRPr="00454843">
        <w:rPr>
          <w:b/>
          <w:u w:val="single"/>
          <w:lang w:val="en-GB"/>
        </w:rPr>
        <w:t xml:space="preserve">Observation </w:t>
      </w:r>
      <w:r w:rsidR="00F43EAB">
        <w:rPr>
          <w:b/>
          <w:u w:val="single"/>
          <w:lang w:val="en-GB"/>
        </w:rPr>
        <w:t>5</w:t>
      </w:r>
      <w:r>
        <w:rPr>
          <w:lang w:val="en-GB"/>
        </w:rPr>
        <w:t>: the proposed procedure yields byte-aligned CBSs.</w:t>
      </w:r>
    </w:p>
    <w:p w14:paraId="068875FE" w14:textId="07CFE527" w:rsidR="00454843" w:rsidRPr="00454843" w:rsidRDefault="00454843" w:rsidP="00454843">
      <w:pPr>
        <w:rPr>
          <w:lang w:val="en-GB"/>
        </w:rPr>
      </w:pPr>
      <w:r w:rsidRPr="00454843">
        <w:rPr>
          <w:b/>
          <w:u w:val="single"/>
          <w:lang w:val="en-GB"/>
        </w:rPr>
        <w:t xml:space="preserve">Observation </w:t>
      </w:r>
      <w:r w:rsidR="00F43EAB">
        <w:rPr>
          <w:b/>
          <w:u w:val="single"/>
          <w:lang w:val="en-GB"/>
        </w:rPr>
        <w:t>6</w:t>
      </w:r>
      <w:r>
        <w:rPr>
          <w:lang w:val="en-GB"/>
        </w:rPr>
        <w:t>: the proposed procedure yields byte-aligned TBSs.</w:t>
      </w:r>
    </w:p>
    <w:p w14:paraId="01AC067F" w14:textId="77777777" w:rsidR="00454843" w:rsidRPr="00454843" w:rsidRDefault="00454843" w:rsidP="00454843">
      <w:pPr>
        <w:rPr>
          <w:lang w:val="en-GB"/>
        </w:rPr>
      </w:pPr>
    </w:p>
    <w:p w14:paraId="19122FC6" w14:textId="77777777" w:rsidR="00ED4C2A" w:rsidRDefault="00ED4C2A" w:rsidP="00ED4C2A">
      <w:pPr>
        <w:pStyle w:val="ListParagraph"/>
        <w:numPr>
          <w:ilvl w:val="0"/>
          <w:numId w:val="20"/>
        </w:numPr>
        <w:rPr>
          <w:lang w:val="en-GB"/>
        </w:rPr>
      </w:pPr>
      <w:r>
        <w:rPr>
          <w:lang w:val="en-GB"/>
        </w:rPr>
        <w:t xml:space="preserve">The </w:t>
      </w:r>
      <m:oMath>
        <m:r>
          <w:rPr>
            <w:rFonts w:ascii="Cambria Math" w:hAnsi="Cambria Math"/>
            <w:lang w:val="en-GB"/>
          </w:rPr>
          <m:t>TBS+</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TB,CRC</m:t>
            </m:r>
          </m:sub>
        </m:sSub>
      </m:oMath>
      <w:r>
        <w:rPr>
          <w:lang w:val="en-GB"/>
        </w:rPr>
        <w:t xml:space="preserve"> is an integer multiple of the CBS for the base-graph to be used (either BG1 or BG2). Therefore:</w:t>
      </w:r>
    </w:p>
    <w:p w14:paraId="69BF8356" w14:textId="77777777" w:rsidR="00ED4C2A" w:rsidRDefault="00ED4C2A" w:rsidP="00ED4C2A">
      <w:pPr>
        <w:pStyle w:val="ListParagraph"/>
        <w:numPr>
          <w:ilvl w:val="1"/>
          <w:numId w:val="20"/>
        </w:numPr>
        <w:rPr>
          <w:lang w:val="en-GB"/>
        </w:rPr>
      </w:pPr>
      <w:r>
        <w:rPr>
          <w:lang w:val="en-GB"/>
        </w:rPr>
        <w:t>The TB, including the TB CRC, can be segmented into code blocks of equal size (Agreement 10).</w:t>
      </w:r>
    </w:p>
    <w:p w14:paraId="731E7439" w14:textId="77777777" w:rsidR="00ED4C2A" w:rsidRDefault="00ED4C2A" w:rsidP="00ED4C2A">
      <w:pPr>
        <w:pStyle w:val="ListParagraph"/>
        <w:numPr>
          <w:ilvl w:val="1"/>
          <w:numId w:val="20"/>
        </w:numPr>
        <w:rPr>
          <w:lang w:val="en-GB"/>
        </w:rPr>
      </w:pPr>
      <w:r>
        <w:rPr>
          <w:lang w:val="en-GB"/>
        </w:rPr>
        <w:t>No zero padding is needed when segmenting a TB with BG1 (Agreement 11).</w:t>
      </w:r>
    </w:p>
    <w:p w14:paraId="725DA3D1" w14:textId="3BB1ECA3" w:rsidR="00ED4C2A" w:rsidRDefault="00ED4C2A" w:rsidP="00ED4C2A">
      <w:pPr>
        <w:pStyle w:val="ListParagraph"/>
        <w:numPr>
          <w:ilvl w:val="1"/>
          <w:numId w:val="20"/>
        </w:numPr>
        <w:rPr>
          <w:lang w:val="en-GB"/>
        </w:rPr>
      </w:pPr>
      <w:r>
        <w:rPr>
          <w:lang w:val="en-GB"/>
        </w:rPr>
        <w:t>No zero padding is needed when segmenting a TB with BG2 (desired in Agreement 11).</w:t>
      </w:r>
    </w:p>
    <w:p w14:paraId="41C1F531" w14:textId="77777777" w:rsidR="00E00337" w:rsidRDefault="00E00337" w:rsidP="00454843">
      <w:pPr>
        <w:rPr>
          <w:b/>
          <w:u w:val="single"/>
          <w:lang w:val="en-GB"/>
        </w:rPr>
      </w:pPr>
    </w:p>
    <w:p w14:paraId="33D0048E" w14:textId="017B4F20" w:rsidR="00454843" w:rsidRPr="00454843" w:rsidRDefault="00F43EAB" w:rsidP="00454843">
      <w:pPr>
        <w:rPr>
          <w:lang w:val="en-GB"/>
        </w:rPr>
      </w:pPr>
      <w:r>
        <w:rPr>
          <w:b/>
          <w:u w:val="single"/>
          <w:lang w:val="en-GB"/>
        </w:rPr>
        <w:t>Observation 7</w:t>
      </w:r>
      <w:r w:rsidR="00454843" w:rsidRPr="00454843">
        <w:rPr>
          <w:b/>
          <w:u w:val="single"/>
          <w:lang w:val="en-GB"/>
        </w:rPr>
        <w:t>:</w:t>
      </w:r>
      <w:r w:rsidR="00454843">
        <w:rPr>
          <w:lang w:val="en-GB"/>
        </w:rPr>
        <w:t xml:space="preserve"> the proposed procedure guarantees that the TB can be segmented in code blocks of equal size.</w:t>
      </w:r>
    </w:p>
    <w:p w14:paraId="038B727C" w14:textId="6C4B5350" w:rsidR="00454843" w:rsidRDefault="00F43EAB" w:rsidP="00454843">
      <w:pPr>
        <w:rPr>
          <w:lang w:val="en-GB"/>
        </w:rPr>
      </w:pPr>
      <w:r>
        <w:rPr>
          <w:b/>
          <w:u w:val="single"/>
          <w:lang w:val="en-GB"/>
        </w:rPr>
        <w:t>Observation 8</w:t>
      </w:r>
      <w:r w:rsidR="00454843" w:rsidRPr="00454843">
        <w:rPr>
          <w:b/>
          <w:u w:val="single"/>
          <w:lang w:val="en-GB"/>
        </w:rPr>
        <w:t>:</w:t>
      </w:r>
      <w:r w:rsidR="00454843">
        <w:rPr>
          <w:lang w:val="en-GB"/>
        </w:rPr>
        <w:t xml:space="preserve"> the proposed procedure guarantees no padding </w:t>
      </w:r>
      <w:r w:rsidR="0038508F">
        <w:rPr>
          <w:lang w:val="en-GB"/>
        </w:rPr>
        <w:t>when segmenting</w:t>
      </w:r>
      <w:r w:rsidR="00454843">
        <w:rPr>
          <w:lang w:val="en-GB"/>
        </w:rPr>
        <w:t xml:space="preserve"> with BG1.</w:t>
      </w:r>
    </w:p>
    <w:p w14:paraId="7AD412E8" w14:textId="17FDACC2" w:rsidR="00454843" w:rsidRDefault="00F43EAB" w:rsidP="00454843">
      <w:pPr>
        <w:rPr>
          <w:lang w:val="en-GB"/>
        </w:rPr>
      </w:pPr>
      <w:r>
        <w:rPr>
          <w:b/>
          <w:u w:val="single"/>
          <w:lang w:val="en-GB"/>
        </w:rPr>
        <w:t>Observation 9</w:t>
      </w:r>
      <w:r w:rsidR="00454843" w:rsidRPr="00454843">
        <w:rPr>
          <w:b/>
          <w:u w:val="single"/>
          <w:lang w:val="en-GB"/>
        </w:rPr>
        <w:t>:</w:t>
      </w:r>
      <w:r w:rsidR="00454843">
        <w:rPr>
          <w:lang w:val="en-GB"/>
        </w:rPr>
        <w:t xml:space="preserve"> the proposed procedure guarantees no padding</w:t>
      </w:r>
      <w:r w:rsidR="0038508F">
        <w:rPr>
          <w:lang w:val="en-GB"/>
        </w:rPr>
        <w:t xml:space="preserve"> when segmenting</w:t>
      </w:r>
      <w:r w:rsidR="00454843">
        <w:rPr>
          <w:lang w:val="en-GB"/>
        </w:rPr>
        <w:t xml:space="preserve"> with BG2.</w:t>
      </w:r>
    </w:p>
    <w:p w14:paraId="6DF95C3B" w14:textId="77777777" w:rsidR="001418AE" w:rsidRDefault="001418AE" w:rsidP="001418AE">
      <w:pPr>
        <w:pStyle w:val="Heading1"/>
      </w:pPr>
      <w:bookmarkStart w:id="6" w:name="_Ref499617311"/>
      <w:r>
        <w:t>Maintaining TBS During Retransmission</w:t>
      </w:r>
      <w:bookmarkEnd w:id="6"/>
    </w:p>
    <w:p w14:paraId="125447D6" w14:textId="4F805C14" w:rsidR="001418AE" w:rsidRDefault="001418AE" w:rsidP="001418AE">
      <w:pPr>
        <w:jc w:val="both"/>
        <w:rPr>
          <w:lang w:val="en-GB"/>
        </w:rPr>
      </w:pPr>
      <w:r>
        <w:rPr>
          <w:lang w:val="en-GB"/>
        </w:rPr>
        <w:t xml:space="preserve">In </w:t>
      </w:r>
      <w:r>
        <w:rPr>
          <w:lang w:val="en-GB"/>
        </w:rPr>
        <w:fldChar w:fldCharType="begin"/>
      </w:r>
      <w:r>
        <w:rPr>
          <w:lang w:val="en-GB"/>
        </w:rPr>
        <w:instrText xml:space="preserve"> REF _Ref499578766 \r \h </w:instrText>
      </w:r>
      <w:r>
        <w:rPr>
          <w:lang w:val="en-GB"/>
        </w:rPr>
      </w:r>
      <w:r>
        <w:rPr>
          <w:lang w:val="en-GB"/>
        </w:rPr>
        <w:instrText xml:space="preserve"> \* MERGEFORMAT </w:instrText>
      </w:r>
      <w:r>
        <w:rPr>
          <w:lang w:val="en-GB"/>
        </w:rPr>
        <w:fldChar w:fldCharType="separate"/>
      </w:r>
      <w:r>
        <w:rPr>
          <w:lang w:val="en-GB"/>
        </w:rPr>
        <w:t>[6]</w:t>
      </w:r>
      <w:r>
        <w:rPr>
          <w:lang w:val="en-GB"/>
        </w:rPr>
        <w:fldChar w:fldCharType="end"/>
      </w:r>
      <w:r>
        <w:rPr>
          <w:lang w:val="en-GB"/>
        </w:rPr>
        <w:t>, the intermediate number of information bits is quantized to a set value using the following operation:</w:t>
      </w:r>
    </w:p>
    <w:p w14:paraId="46548EB8" w14:textId="063B94DF" w:rsidR="001418AE" w:rsidRPr="009967CD" w:rsidRDefault="001418AE" w:rsidP="001418AE">
      <w:pPr>
        <w:jc w:val="both"/>
        <w:rPr>
          <w:lang w:val="en-GB"/>
        </w:rPr>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n</m:t>
              </m:r>
            </m:sup>
          </m:sSup>
          <m:r>
            <m:rPr>
              <m:sty m:val="p"/>
            </m:rPr>
            <w:rPr>
              <w:rFonts w:ascii="Cambria Math" w:hAnsi="Cambria Math"/>
              <w:lang w:val="en-GB"/>
            </w:rPr>
            <m:t>.</m:t>
          </m:r>
          <m:r>
            <m:rPr>
              <m:sty m:val="p"/>
            </m:rPr>
            <w:rPr>
              <w:rFonts w:ascii="Cambria Math" w:hAnsi="Cambria Math"/>
              <w:lang w:val="en-GB"/>
            </w:rPr>
            <m:t>round</m:t>
          </m:r>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.R.v</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n</m:t>
                      </m:r>
                    </m:sup>
                  </m:sSup>
                </m:den>
              </m:f>
            </m:e>
          </m:d>
        </m:oMath>
      </m:oMathPara>
    </w:p>
    <w:p w14:paraId="0FE792D2" w14:textId="6CA46CDF" w:rsidR="001418AE" w:rsidRPr="009967CD" w:rsidRDefault="001418AE" w:rsidP="001418AE">
      <w:pPr>
        <w:jc w:val="both"/>
        <w:rPr>
          <w:lang w:val="en-GB"/>
        </w:rPr>
      </w:pPr>
      <m:oMathPara>
        <m:oMath>
          <m:r>
            <w:rPr>
              <w:rFonts w:ascii="Cambria Math" w:hAnsi="Cambria Math"/>
              <w:lang w:val="en-GB"/>
            </w:rPr>
            <m:t xml:space="preserve">n= </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.R.v</m:t>
                            </m:r>
                          </m:e>
                        </m:func>
                      </m:e>
                    </m:d>
                    <m:r>
                      <w:rPr>
                        <w:rFonts w:ascii="Cambria Math" w:hAnsi="Cambria Math"/>
                        <w:lang w:val="en-GB"/>
                      </w:rPr>
                      <m:t>-5</m:t>
                    </m:r>
                  </m:e>
                  <m:e>
                    <m:r>
                      <m:rPr>
                        <m:sty m:val="p"/>
                      </m:rPr>
                      <w:rPr>
                        <w:rFonts w:ascii="Cambria Math" w:hAnsi="Cambria Math"/>
                        <w:lang w:val="en-GB"/>
                      </w:rPr>
                      <m:t>if</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.R.v)&gt;5</m:t>
                        </m:r>
                      </m:e>
                    </m:func>
                  </m:e>
                </m:mr>
                <m:mr>
                  <m:e>
                    <m:r>
                      <w:rPr>
                        <w:rFonts w:ascii="Cambria Math" w:hAnsi="Cambria Math"/>
                        <w:lang w:val="en-GB"/>
                      </w:rPr>
                      <m:t>0</m:t>
                    </m:r>
                  </m:e>
                  <m:e>
                    <m:r>
                      <m:rPr>
                        <m:sty m:val="p"/>
                      </m:rPr>
                      <w:rPr>
                        <w:rFonts w:ascii="Cambria Math" w:hAnsi="Cambria Math"/>
                        <w:lang w:val="en-GB"/>
                      </w:rPr>
                      <m:t>otherwise</m:t>
                    </m:r>
                  </m:e>
                </m:mr>
              </m:m>
            </m:e>
          </m:d>
        </m:oMath>
      </m:oMathPara>
    </w:p>
    <w:p w14:paraId="10FADB08" w14:textId="375AB6D6" w:rsidR="001418AE" w:rsidRDefault="001418AE" w:rsidP="001418AE">
      <w:pPr>
        <w:jc w:val="both"/>
        <w:rPr>
          <w:lang w:val="en-GB"/>
        </w:rPr>
      </w:pPr>
      <w:r>
        <w:rPr>
          <w:lang w:val="en-GB"/>
        </w:rPr>
        <w:t xml:space="preserve">This quantization reduces the number of available TB sizes and facilitates maintaining the same TBS during retransmission when some parameters change. A quantization mechanism is also applied when calculating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oMath>
      <w:r>
        <w:rPr>
          <w:lang w:val="en-GB"/>
        </w:rPr>
        <w:t xml:space="preserve"> to achieve the same goal</w:t>
      </w:r>
      <w:r>
        <w:rPr>
          <w:lang w:val="en-GB"/>
        </w:rPr>
        <w:t xml:space="preserve"> </w:t>
      </w:r>
      <w:r>
        <w:rPr>
          <w:lang w:val="en-GB"/>
        </w:rPr>
        <w:fldChar w:fldCharType="begin"/>
      </w:r>
      <w:r>
        <w:rPr>
          <w:lang w:val="en-GB"/>
        </w:rPr>
        <w:instrText xml:space="preserve"> REF _Ref498612979 \r \h </w:instrText>
      </w:r>
      <w:r>
        <w:rPr>
          <w:lang w:val="en-GB"/>
        </w:rPr>
      </w:r>
      <w:r>
        <w:rPr>
          <w:lang w:val="en-GB"/>
        </w:rPr>
        <w:instrText xml:space="preserve"> \* MERGEFORMAT </w:instrText>
      </w:r>
      <w:r>
        <w:rPr>
          <w:lang w:val="en-GB"/>
        </w:rPr>
        <w:fldChar w:fldCharType="separate"/>
      </w:r>
      <w:r>
        <w:rPr>
          <w:lang w:val="en-GB"/>
        </w:rPr>
        <w:t>[4]</w:t>
      </w:r>
      <w:r>
        <w:rPr>
          <w:lang w:val="en-GB"/>
        </w:rPr>
        <w:fldChar w:fldCharType="end"/>
      </w:r>
      <w:r w:rsidR="004A7F6A">
        <w:rPr>
          <w:lang w:val="en-GB"/>
        </w:rPr>
        <w:t>:</w:t>
      </w:r>
    </w:p>
    <w:p w14:paraId="2E24FCB2" w14:textId="02D982C2" w:rsidR="004A7F6A" w:rsidRPr="004A7F6A" w:rsidRDefault="004A7F6A" w:rsidP="004A7F6A">
      <w:pPr>
        <w:ind w:left="288"/>
        <w:rPr>
          <w:b/>
          <w:highlight w:val="green"/>
          <w:lang w:eastAsia="x-none"/>
        </w:rPr>
      </w:pPr>
      <w:r w:rsidRPr="002253A2">
        <w:rPr>
          <w:b/>
          <w:highlight w:val="green"/>
          <w:lang w:eastAsia="x-none"/>
        </w:rPr>
        <w:t>Agreement:</w:t>
      </w:r>
    </w:p>
    <w:p w14:paraId="5793A495" w14:textId="1D4E42A5" w:rsidR="004A7F6A" w:rsidRDefault="004A7F6A" w:rsidP="004A7F6A">
      <w:pPr>
        <w:pStyle w:val="ListParagraph"/>
        <w:numPr>
          <w:ilvl w:val="0"/>
          <w:numId w:val="10"/>
        </w:numPr>
        <w:ind w:left="1008"/>
        <w:contextualSpacing/>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14:paraId="561DC018" w14:textId="77777777" w:rsidR="004A7F6A" w:rsidRDefault="004A7F6A" w:rsidP="004A7F6A">
      <w:pPr>
        <w:pStyle w:val="BodyText"/>
        <w:numPr>
          <w:ilvl w:val="1"/>
          <w:numId w:val="10"/>
        </w:numPr>
        <w:overflowPunct/>
        <w:autoSpaceDE/>
        <w:autoSpaceDN/>
        <w:adjustRightInd/>
        <w:ind w:left="1728"/>
        <w:textAlignment w:val="auto"/>
        <w:rPr>
          <w:szCs w:val="20"/>
        </w:rPr>
      </w:pPr>
      <w:r>
        <w:rPr>
          <w:szCs w:val="20"/>
        </w:rPr>
        <w:t>D</w:t>
      </w:r>
      <w:r w:rsidRPr="0015554B">
        <w:rPr>
          <w:szCs w:val="20"/>
        </w:rPr>
        <w:t>etermi</w:t>
      </w:r>
      <w:r>
        <w:rPr>
          <w:szCs w:val="20"/>
        </w:rPr>
        <w:t>ne X =  12* #OFDM_symbols_</w:t>
      </w:r>
      <w:r w:rsidRPr="0015554B">
        <w:rPr>
          <w:szCs w:val="20"/>
        </w:rPr>
        <w:t>scheduled</w:t>
      </w:r>
      <w:r>
        <w:rPr>
          <w:szCs w:val="20"/>
        </w:rPr>
        <w:t xml:space="preserve"> – Xd – Xoh </w:t>
      </w:r>
    </w:p>
    <w:p w14:paraId="4E5F3C00" w14:textId="77777777" w:rsidR="004A7F6A" w:rsidRDefault="004A7F6A" w:rsidP="004A7F6A">
      <w:pPr>
        <w:pStyle w:val="BodyText"/>
        <w:numPr>
          <w:ilvl w:val="2"/>
          <w:numId w:val="10"/>
        </w:numPr>
        <w:overflowPunct/>
        <w:autoSpaceDE/>
        <w:autoSpaceDN/>
        <w:adjustRightInd/>
        <w:ind w:left="2448"/>
        <w:textAlignment w:val="auto"/>
        <w:rPr>
          <w:szCs w:val="20"/>
        </w:rPr>
      </w:pPr>
      <w:r>
        <w:rPr>
          <w:szCs w:val="20"/>
        </w:rPr>
        <w:t>Xd = #REs_for_DMRS_per_PRB in the scheduled duration</w:t>
      </w:r>
    </w:p>
    <w:p w14:paraId="368D9954" w14:textId="77777777" w:rsidR="004A7F6A" w:rsidRDefault="004A7F6A" w:rsidP="004A7F6A">
      <w:pPr>
        <w:pStyle w:val="BodyText"/>
        <w:numPr>
          <w:ilvl w:val="2"/>
          <w:numId w:val="10"/>
        </w:numPr>
        <w:overflowPunct/>
        <w:autoSpaceDE/>
        <w:autoSpaceDN/>
        <w:adjustRightInd/>
        <w:ind w:left="2448"/>
        <w:textAlignment w:val="auto"/>
        <w:rPr>
          <w:szCs w:val="20"/>
        </w:rPr>
      </w:pPr>
      <w:r>
        <w:rPr>
          <w:szCs w:val="20"/>
        </w:rPr>
        <w:t>Xoh = accounts for overhead from CSI-RS, CORESET, etc. One value for UL, one for DL.</w:t>
      </w:r>
    </w:p>
    <w:p w14:paraId="713FF05F" w14:textId="77777777" w:rsidR="004A7F6A" w:rsidRDefault="004A7F6A" w:rsidP="004A7F6A">
      <w:pPr>
        <w:pStyle w:val="BodyText"/>
        <w:numPr>
          <w:ilvl w:val="3"/>
          <w:numId w:val="10"/>
        </w:numPr>
        <w:overflowPunct/>
        <w:autoSpaceDE/>
        <w:autoSpaceDN/>
        <w:adjustRightInd/>
        <w:ind w:left="3168"/>
        <w:textAlignment w:val="auto"/>
        <w:rPr>
          <w:szCs w:val="20"/>
        </w:rPr>
      </w:pPr>
      <w:r>
        <w:rPr>
          <w:szCs w:val="20"/>
        </w:rPr>
        <w:t>Xoh is semi-statically determined</w:t>
      </w:r>
    </w:p>
    <w:p w14:paraId="3CF569F1" w14:textId="77777777" w:rsidR="004A7F6A" w:rsidRDefault="004A7F6A" w:rsidP="004A7F6A">
      <w:pPr>
        <w:pStyle w:val="BodyText"/>
        <w:numPr>
          <w:ilvl w:val="1"/>
          <w:numId w:val="10"/>
        </w:numPr>
        <w:overflowPunct/>
        <w:autoSpaceDE/>
        <w:autoSpaceDN/>
        <w:adjustRightInd/>
        <w:ind w:left="1728"/>
        <w:textAlignment w:val="auto"/>
        <w:rPr>
          <w:szCs w:val="20"/>
        </w:rPr>
      </w:pPr>
      <w:r>
        <w:rPr>
          <w:szCs w:val="20"/>
        </w:rPr>
        <w:t>Quantize X into one of a predefined set of values, resulting in Y</w:t>
      </w:r>
    </w:p>
    <w:p w14:paraId="2DEE1F17" w14:textId="77777777" w:rsidR="004A7F6A" w:rsidRDefault="004A7F6A" w:rsidP="004A7F6A">
      <w:pPr>
        <w:pStyle w:val="BodyText"/>
        <w:numPr>
          <w:ilvl w:val="2"/>
          <w:numId w:val="10"/>
        </w:numPr>
        <w:overflowPunct/>
        <w:autoSpaceDE/>
        <w:autoSpaceDN/>
        <w:adjustRightInd/>
        <w:ind w:left="2448"/>
        <w:textAlignment w:val="auto"/>
        <w:rPr>
          <w:szCs w:val="20"/>
        </w:rPr>
      </w:pPr>
      <w:r>
        <w:rPr>
          <w:szCs w:val="20"/>
        </w:rPr>
        <w:t>[8] values</w:t>
      </w:r>
    </w:p>
    <w:p w14:paraId="232B7559" w14:textId="77777777" w:rsidR="004A7F6A" w:rsidRDefault="004A7F6A" w:rsidP="004A7F6A">
      <w:pPr>
        <w:pStyle w:val="BodyText"/>
        <w:numPr>
          <w:ilvl w:val="3"/>
          <w:numId w:val="10"/>
        </w:numPr>
        <w:overflowPunct/>
        <w:autoSpaceDE/>
        <w:autoSpaceDN/>
        <w:adjustRightInd/>
        <w:ind w:left="3168"/>
        <w:textAlignment w:val="auto"/>
        <w:rPr>
          <w:szCs w:val="20"/>
        </w:rPr>
      </w:pPr>
      <w:r>
        <w:rPr>
          <w:szCs w:val="20"/>
        </w:rPr>
        <w:t>Should allow for reasonable accuracy for all transmission durations</w:t>
      </w:r>
    </w:p>
    <w:p w14:paraId="55418F74" w14:textId="77777777" w:rsidR="004A7F6A" w:rsidRDefault="004A7F6A" w:rsidP="004A7F6A">
      <w:pPr>
        <w:pStyle w:val="BodyText"/>
        <w:numPr>
          <w:ilvl w:val="3"/>
          <w:numId w:val="10"/>
        </w:numPr>
        <w:overflowPunct/>
        <w:autoSpaceDE/>
        <w:autoSpaceDN/>
        <w:adjustRightInd/>
        <w:ind w:left="3168"/>
        <w:textAlignment w:val="auto"/>
        <w:rPr>
          <w:szCs w:val="20"/>
        </w:rPr>
      </w:pPr>
      <w:r>
        <w:rPr>
          <w:szCs w:val="20"/>
        </w:rPr>
        <w:t>May depend on the number of scheduled symbols</w:t>
      </w:r>
    </w:p>
    <w:p w14:paraId="4F2930DA" w14:textId="77777777" w:rsidR="004A7F6A" w:rsidRDefault="004A7F6A" w:rsidP="004A7F6A">
      <w:pPr>
        <w:pStyle w:val="BodyText"/>
        <w:numPr>
          <w:ilvl w:val="2"/>
          <w:numId w:val="10"/>
        </w:numPr>
        <w:overflowPunct/>
        <w:autoSpaceDE/>
        <w:autoSpaceDN/>
        <w:adjustRightInd/>
        <w:ind w:left="2448"/>
        <w:textAlignment w:val="auto"/>
        <w:rPr>
          <w:szCs w:val="20"/>
        </w:rPr>
      </w:pPr>
      <w:r>
        <w:rPr>
          <w:szCs w:val="20"/>
        </w:rPr>
        <w:t>FFS: floor, ceiling or some other quantization</w:t>
      </w:r>
    </w:p>
    <w:p w14:paraId="7A44019E" w14:textId="77777777" w:rsidR="004A7F6A" w:rsidRDefault="004A7F6A" w:rsidP="004A7F6A">
      <w:pPr>
        <w:pStyle w:val="BodyText"/>
        <w:numPr>
          <w:ilvl w:val="2"/>
          <w:numId w:val="10"/>
        </w:numPr>
        <w:overflowPunct/>
        <w:autoSpaceDE/>
        <w:autoSpaceDN/>
        <w:adjustRightInd/>
        <w:ind w:left="2448"/>
        <w:textAlignment w:val="auto"/>
        <w:rPr>
          <w:szCs w:val="20"/>
        </w:rPr>
      </w:pPr>
      <w:r>
        <w:rPr>
          <w:szCs w:val="20"/>
        </w:rPr>
        <w:t>Note: quantization may not be needed</w:t>
      </w:r>
    </w:p>
    <w:p w14:paraId="1DFF1638" w14:textId="77777777" w:rsidR="004A7F6A" w:rsidRPr="005826EB" w:rsidRDefault="004A7F6A" w:rsidP="004A7F6A">
      <w:pPr>
        <w:pStyle w:val="BodyText"/>
        <w:numPr>
          <w:ilvl w:val="2"/>
          <w:numId w:val="10"/>
        </w:numPr>
        <w:overflowPunct/>
        <w:autoSpaceDE/>
        <w:autoSpaceDN/>
        <w:adjustRightInd/>
        <w:ind w:left="2448"/>
        <w:textAlignment w:val="auto"/>
        <w:rPr>
          <w:szCs w:val="20"/>
        </w:rPr>
      </w:pPr>
      <w:r w:rsidRPr="005826EB">
        <w:rPr>
          <w:szCs w:val="20"/>
        </w:rPr>
        <w:t>FFS: Quantization step should ensure the same TB size can be obtained between transmission and retransmission, irrespective of the number of layers used for the retransmission. otherwise Xd has to be independent of the number of layers</w:t>
      </w:r>
    </w:p>
    <w:p w14:paraId="5E0413B8" w14:textId="77777777" w:rsidR="004A7F6A" w:rsidRDefault="004A7F6A" w:rsidP="004A7F6A">
      <w:pPr>
        <w:pStyle w:val="BodyText"/>
        <w:numPr>
          <w:ilvl w:val="0"/>
          <w:numId w:val="10"/>
        </w:numPr>
        <w:overflowPunct/>
        <w:autoSpaceDE/>
        <w:autoSpaceDN/>
        <w:adjustRightInd/>
        <w:ind w:left="1008"/>
        <w:textAlignment w:val="auto"/>
      </w:pPr>
      <w:r>
        <w:t>Obtain the actual TB size from the intermediate number of information bits according to the channel coding decisions</w:t>
      </w:r>
    </w:p>
    <w:p w14:paraId="0705C265" w14:textId="77777777" w:rsidR="004A7F6A" w:rsidRDefault="004A7F6A" w:rsidP="001418AE">
      <w:pPr>
        <w:jc w:val="both"/>
        <w:rPr>
          <w:lang w:val="en-GB"/>
        </w:rPr>
      </w:pPr>
    </w:p>
    <w:p w14:paraId="02B188A5" w14:textId="484CD696" w:rsidR="001418AE" w:rsidRDefault="001418AE" w:rsidP="001418AE">
      <w:pPr>
        <w:jc w:val="both"/>
        <w:rPr>
          <w:lang w:val="en-GB"/>
        </w:rPr>
      </w:pPr>
      <w:r>
        <w:rPr>
          <w:lang w:val="en-GB"/>
        </w:rPr>
        <w:t xml:space="preserve">In this section, we apply both quantization methods and </w:t>
      </w:r>
      <w:r>
        <w:rPr>
          <w:lang w:val="en-GB"/>
        </w:rPr>
        <w:t>show</w:t>
      </w:r>
      <w:r>
        <w:rPr>
          <w:lang w:val="en-GB"/>
        </w:rPr>
        <w:t xml:space="preserve"> </w:t>
      </w:r>
      <w:r>
        <w:rPr>
          <w:lang w:val="en-GB"/>
        </w:rPr>
        <w:t>that most TBS values can be achieved using a large number of explicit MCS entries.</w:t>
      </w:r>
    </w:p>
    <w:p w14:paraId="46D12391" w14:textId="5E9A2536" w:rsidR="004A7F6A" w:rsidRDefault="004A7F6A" w:rsidP="001418AE">
      <w:pPr>
        <w:jc w:val="both"/>
        <w:rPr>
          <w:lang w:val="en-GB"/>
        </w:rPr>
      </w:pPr>
      <w:r>
        <w:rPr>
          <w:lang w:val="en-GB"/>
        </w:rPr>
        <w:t xml:space="preserve">We use the X quantization values </w:t>
      </w:r>
      <w:r>
        <w:rPr>
          <w:lang w:val="en-GB"/>
        </w:rPr>
        <w:t>{6,12,18,36,72,108,144}</w:t>
      </w:r>
      <w:r>
        <w:rPr>
          <w:lang w:val="en-GB"/>
        </w:rPr>
        <w:t xml:space="preserve"> proposed in </w:t>
      </w:r>
      <w:r>
        <w:rPr>
          <w:lang w:val="en-GB"/>
        </w:rPr>
        <w:fldChar w:fldCharType="begin"/>
      </w:r>
      <w:r>
        <w:rPr>
          <w:lang w:val="en-GB"/>
        </w:rPr>
        <w:instrText xml:space="preserve"> REF _Ref498674446 \r \h </w:instrText>
      </w:r>
      <w:r>
        <w:rPr>
          <w:lang w:val="en-GB"/>
        </w:rPr>
      </w:r>
      <w:r>
        <w:rPr>
          <w:lang w:val="en-GB"/>
        </w:rPr>
        <w:fldChar w:fldCharType="separate"/>
      </w:r>
      <w:r>
        <w:rPr>
          <w:lang w:val="en-GB"/>
        </w:rPr>
        <w:t>[5]</w:t>
      </w:r>
      <w:r>
        <w:rPr>
          <w:lang w:val="en-GB"/>
        </w:rPr>
        <w:fldChar w:fldCharType="end"/>
      </w:r>
      <w:r>
        <w:rPr>
          <w:lang w:val="en-GB"/>
        </w:rPr>
        <w:t xml:space="preserve"> and the 256-QAM MCS table with uniform special-efficiency spacing proposed in </w:t>
      </w:r>
      <w:r>
        <w:rPr>
          <w:lang w:val="en-GB"/>
        </w:rPr>
        <w:fldChar w:fldCharType="begin"/>
      </w:r>
      <w:r>
        <w:rPr>
          <w:lang w:val="en-GB"/>
        </w:rPr>
        <w:instrText xml:space="preserve"> REF _Ref499619651 \r \h </w:instrText>
      </w:r>
      <w:r>
        <w:rPr>
          <w:lang w:val="en-GB"/>
        </w:rPr>
      </w:r>
      <w:r>
        <w:rPr>
          <w:lang w:val="en-GB"/>
        </w:rPr>
        <w:fldChar w:fldCharType="separate"/>
      </w:r>
      <w:r>
        <w:rPr>
          <w:lang w:val="en-GB"/>
        </w:rPr>
        <w:t>[7]</w:t>
      </w:r>
      <w:r>
        <w:rPr>
          <w:lang w:val="en-GB"/>
        </w:rPr>
        <w:fldChar w:fldCharType="end"/>
      </w:r>
      <w:r>
        <w:rPr>
          <w:lang w:val="en-GB"/>
        </w:rPr>
        <w:t xml:space="preserve">. To generate the results, the PRB allocation is swept in the range </w:t>
      </w:r>
      <m:oMath>
        <m:r>
          <w:rPr>
            <w:rFonts w:ascii="Cambria Math" w:hAnsi="Cambria Math"/>
            <w:lang w:val="en-GB"/>
          </w:rPr>
          <m:t>[1, 272]</m:t>
        </m:r>
      </m:oMath>
      <w:r>
        <w:rPr>
          <w:lang w:val="en-GB"/>
        </w:rPr>
        <w:t xml:space="preserve">. </w:t>
      </w:r>
      <w:r w:rsidR="00374018">
        <w:rPr>
          <w:lang w:val="en-GB"/>
        </w:rPr>
        <w:t xml:space="preserve">From </w:t>
      </w:r>
      <w:r w:rsidR="00374018">
        <w:rPr>
          <w:lang w:val="en-GB"/>
        </w:rPr>
        <w:fldChar w:fldCharType="begin"/>
      </w:r>
      <w:r w:rsidR="00374018">
        <w:rPr>
          <w:lang w:val="en-GB"/>
        </w:rPr>
        <w:instrText xml:space="preserve"> REF _Ref499619811 \h </w:instrText>
      </w:r>
      <w:r w:rsidR="00374018">
        <w:rPr>
          <w:lang w:val="en-GB"/>
        </w:rPr>
      </w:r>
      <w:r w:rsidR="00374018">
        <w:rPr>
          <w:lang w:val="en-GB"/>
        </w:rPr>
        <w:fldChar w:fldCharType="separate"/>
      </w:r>
      <w:r w:rsidR="00374018">
        <w:t xml:space="preserve">Figure </w:t>
      </w:r>
      <w:r w:rsidR="00374018">
        <w:rPr>
          <w:noProof/>
        </w:rPr>
        <w:t>1</w:t>
      </w:r>
      <w:r w:rsidR="00374018">
        <w:rPr>
          <w:lang w:val="en-GB"/>
        </w:rPr>
        <w:fldChar w:fldCharType="end"/>
      </w:r>
      <w:r w:rsidR="00374018">
        <w:rPr>
          <w:lang w:val="en-GB"/>
        </w:rPr>
        <w:t>, it can be observed that the proposed scheme with both quantization steps provides sufficient flexibility for the scheduler to maintain TBS during ret</w:t>
      </w:r>
      <w:bookmarkStart w:id="7" w:name="_GoBack"/>
      <w:bookmarkEnd w:id="7"/>
      <w:r w:rsidR="00374018">
        <w:rPr>
          <w:lang w:val="en-GB"/>
        </w:rPr>
        <w:t>ransmission.</w:t>
      </w:r>
    </w:p>
    <w:p w14:paraId="0AB88FDD" w14:textId="0F8FBAF6" w:rsidR="001418AE" w:rsidRDefault="001418AE" w:rsidP="001418AE">
      <w:pPr>
        <w:jc w:val="center"/>
        <w:rPr>
          <w:lang w:val="en-GB"/>
        </w:rPr>
      </w:pPr>
      <w:r w:rsidRPr="001418AE">
        <w:rPr>
          <w:noProof/>
          <w:lang w:val="en-GB"/>
        </w:rPr>
        <w:drawing>
          <wp:inline distT="0" distB="0" distL="0" distR="0" wp14:anchorId="59EE3946" wp14:editId="671F1DB2">
            <wp:extent cx="3118104" cy="2331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8104" cy="2331720"/>
                    </a:xfrm>
                    <a:prstGeom prst="rect">
                      <a:avLst/>
                    </a:prstGeom>
                    <a:noFill/>
                    <a:ln>
                      <a:noFill/>
                    </a:ln>
                  </pic:spPr>
                </pic:pic>
              </a:graphicData>
            </a:graphic>
          </wp:inline>
        </w:drawing>
      </w:r>
      <w:r w:rsidRPr="001418AE">
        <w:rPr>
          <w:noProof/>
          <w:lang w:val="en-GB"/>
        </w:rPr>
        <w:drawing>
          <wp:inline distT="0" distB="0" distL="0" distR="0" wp14:anchorId="4900FA9D" wp14:editId="61351EB1">
            <wp:extent cx="3108960" cy="2331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8960" cy="2331720"/>
                    </a:xfrm>
                    <a:prstGeom prst="rect">
                      <a:avLst/>
                    </a:prstGeom>
                    <a:noFill/>
                    <a:ln>
                      <a:noFill/>
                    </a:ln>
                  </pic:spPr>
                </pic:pic>
              </a:graphicData>
            </a:graphic>
          </wp:inline>
        </w:drawing>
      </w:r>
    </w:p>
    <w:p w14:paraId="18042984" w14:textId="7353C901" w:rsidR="001418AE" w:rsidRPr="009967CD" w:rsidRDefault="001418AE" w:rsidP="001418AE">
      <w:pPr>
        <w:pStyle w:val="Caption"/>
        <w:jc w:val="center"/>
        <w:rPr>
          <w:lang w:val="en-GB"/>
        </w:rPr>
      </w:pPr>
      <w:bookmarkStart w:id="8" w:name="_Ref499619811"/>
      <w:r>
        <w:t xml:space="preserve">Figure </w:t>
      </w:r>
      <w:r>
        <w:fldChar w:fldCharType="begin"/>
      </w:r>
      <w:r>
        <w:instrText xml:space="preserve"> SEQ Figure \* ARABIC </w:instrText>
      </w:r>
      <w:r>
        <w:fldChar w:fldCharType="separate"/>
      </w:r>
      <w:r>
        <w:rPr>
          <w:noProof/>
        </w:rPr>
        <w:t>1</w:t>
      </w:r>
      <w:r>
        <w:fldChar w:fldCharType="end"/>
      </w:r>
      <w:bookmarkEnd w:id="8"/>
      <w:r>
        <w:t xml:space="preserve"> Number of explicit MCS entries available to achieve a given TBS</w:t>
      </w:r>
    </w:p>
    <w:p w14:paraId="79D941B9" w14:textId="54E98523" w:rsidR="001418AE" w:rsidRDefault="00374018" w:rsidP="00454843">
      <w:pPr>
        <w:rPr>
          <w:lang w:val="en-GB"/>
        </w:rPr>
      </w:pPr>
      <w:r w:rsidRPr="00374018">
        <w:rPr>
          <w:b/>
          <w:u w:val="single"/>
          <w:lang w:val="en-GB"/>
        </w:rPr>
        <w:t>Observation 10:</w:t>
      </w:r>
      <w:r>
        <w:rPr>
          <w:lang w:val="en-GB"/>
        </w:rPr>
        <w:t xml:space="preserve"> The proposed scheme with </w:t>
      </w:r>
      <m:oMath>
        <m:r>
          <w:rPr>
            <w:rFonts w:ascii="Cambria Math" w:hAnsi="Cambria Math"/>
            <w:lang w:val="en-GB"/>
          </w:rPr>
          <m:t>X</m:t>
        </m:r>
      </m:oMath>
      <w:r>
        <w:rPr>
          <w:lang w:val="en-GB"/>
        </w:rPr>
        <w:t xml:space="preserv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oMath>
      <w:r>
        <w:rPr>
          <w:lang w:val="en-GB"/>
        </w:rPr>
        <w:t xml:space="preserve"> quantization </w:t>
      </w:r>
      <w:r>
        <w:rPr>
          <w:lang w:val="en-GB"/>
        </w:rPr>
        <w:t>provides sufficient flexibility for the schedule to maintain TBS during retransmission.</w:t>
      </w:r>
    </w:p>
    <w:p w14:paraId="4A788DCF" w14:textId="77777777" w:rsidR="00374018" w:rsidRDefault="00374018" w:rsidP="00374018">
      <w:r w:rsidRPr="00374018">
        <w:rPr>
          <w:b/>
          <w:u w:val="single"/>
        </w:rPr>
        <w:t>Proposal 1:</w:t>
      </w:r>
      <w:r>
        <w:t xml:space="preserve"> Adopt the following base-graph and TBS determination procedure:</w:t>
      </w:r>
    </w:p>
    <w:p w14:paraId="320846C7" w14:textId="77777777" w:rsidR="00374018" w:rsidRPr="00374018" w:rsidRDefault="00374018" w:rsidP="00374018">
      <w:pPr>
        <w:pStyle w:val="ListParagraph"/>
        <w:numPr>
          <w:ilvl w:val="0"/>
          <w:numId w:val="27"/>
        </w:numPr>
        <w:pBdr>
          <w:top w:val="single" w:sz="4" w:space="1" w:color="auto"/>
          <w:left w:val="single" w:sz="4" w:space="4" w:color="auto"/>
          <w:bottom w:val="single" w:sz="4" w:space="1" w:color="auto"/>
          <w:right w:val="single" w:sz="4" w:space="4" w:color="auto"/>
        </w:pBdr>
        <w:spacing w:line="360" w:lineRule="auto"/>
        <w:ind w:left="1080" w:right="1080"/>
        <w:rPr>
          <w:iCs/>
        </w:rPr>
      </w:pPr>
      <w:r>
        <w:rPr>
          <w:iCs/>
        </w:rPr>
        <w:t xml:space="preserve">Let </w:t>
      </w:r>
      <m:oMath>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t>
            </m:r>
            <m:r>
              <w:rPr>
                <w:rFonts w:ascii="Cambria Math" w:hAnsi="Cambria Math"/>
                <w:lang w:val="en-GB"/>
              </w:rPr>
              <m:t>2</m:t>
            </m:r>
          </m:e>
          <m:sup>
            <m:r>
              <w:rPr>
                <w:rFonts w:ascii="Cambria Math" w:hAnsi="Cambria Math"/>
                <w:lang w:val="en-GB"/>
              </w:rPr>
              <m:t>n</m:t>
            </m:r>
          </m:sup>
        </m:sSup>
        <m:r>
          <m:rPr>
            <m:sty m:val="p"/>
          </m:rPr>
          <w:rPr>
            <w:rFonts w:ascii="Cambria Math" w:hAnsi="Cambria Math"/>
            <w:lang w:val="en-GB"/>
          </w:rPr>
          <m:t>.</m:t>
        </m:r>
        <m:r>
          <m:rPr>
            <m:sty m:val="p"/>
          </m:rPr>
          <w:rPr>
            <w:rFonts w:ascii="Cambria Math" w:hAnsi="Cambria Math"/>
            <w:lang w:val="en-GB"/>
          </w:rPr>
          <m:t>round</m:t>
        </m:r>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.R.v</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n</m:t>
                    </m:r>
                  </m:sup>
                </m:sSup>
              </m:den>
            </m:f>
          </m:e>
        </m:d>
      </m:oMath>
      <w:r>
        <w:rPr>
          <w:lang w:val="en-GB"/>
        </w:rPr>
        <w:t xml:space="preserve">, where </w:t>
      </w:r>
    </w:p>
    <w:p w14:paraId="50AA0742" w14:textId="49C19D1A" w:rsidR="00374018" w:rsidRPr="00374018" w:rsidRDefault="00374018" w:rsidP="00374018">
      <w:pPr>
        <w:pStyle w:val="ListParagraph"/>
        <w:numPr>
          <w:ilvl w:val="0"/>
          <w:numId w:val="27"/>
        </w:numPr>
        <w:pBdr>
          <w:top w:val="single" w:sz="4" w:space="1" w:color="auto"/>
          <w:left w:val="single" w:sz="4" w:space="4" w:color="auto"/>
          <w:bottom w:val="single" w:sz="4" w:space="1" w:color="auto"/>
          <w:right w:val="single" w:sz="4" w:space="4" w:color="auto"/>
        </w:pBdr>
        <w:spacing w:line="360" w:lineRule="auto"/>
        <w:ind w:left="1080" w:right="1080"/>
        <w:rPr>
          <w:iCs/>
        </w:rPr>
      </w:pPr>
      <m:oMath>
        <m:r>
          <w:rPr>
            <w:rFonts w:ascii="Cambria Math" w:hAnsi="Cambria Math"/>
            <w:lang w:val="en-GB"/>
          </w:rPr>
          <m:t xml:space="preserve">                 </m:t>
        </m:r>
        <m:r>
          <w:rPr>
            <w:rFonts w:ascii="Cambria Math" w:hAnsi="Cambria Math"/>
            <w:lang w:val="en-GB"/>
          </w:rPr>
          <m:t>n</m:t>
        </m:r>
        <m:r>
          <w:rPr>
            <w:rFonts w:ascii="Cambria Math" w:hAnsi="Cambria Math"/>
            <w:lang w:val="en-GB"/>
          </w:rPr>
          <m:t xml:space="preserve">= </m:t>
        </m:r>
        <m:d>
          <m:dPr>
            <m:begChr m:val="{"/>
            <m:endChr m:val=""/>
            <m:ctrlPr>
              <w:rPr>
                <w:rFonts w:ascii="Cambria Math" w:eastAsia="SimSun" w:hAnsi="Cambria Math"/>
                <w:i/>
                <w:sz w:val="20"/>
                <w:szCs w:val="20"/>
                <w:lang w:val="en-GB"/>
              </w:rPr>
            </m:ctrlPr>
          </m:dPr>
          <m:e>
            <m:m>
              <m:mPr>
                <m:mcs>
                  <m:mc>
                    <m:mcPr>
                      <m:count m:val="2"/>
                      <m:mcJc m:val="center"/>
                    </m:mcPr>
                  </m:mc>
                </m:mcs>
                <m:ctrlPr>
                  <w:rPr>
                    <w:rFonts w:ascii="Cambria Math" w:eastAsia="SimSun" w:hAnsi="Cambria Math"/>
                    <w:i/>
                    <w:sz w:val="20"/>
                    <w:szCs w:val="20"/>
                    <w:lang w:val="en-GB"/>
                  </w:rPr>
                </m:ctrlPr>
              </m:mPr>
              <m:mr>
                <m:e>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.R.v</m:t>
                          </m:r>
                        </m:e>
                      </m:func>
                    </m:e>
                  </m:d>
                  <m:r>
                    <w:rPr>
                      <w:rFonts w:ascii="Cambria Math" w:hAnsi="Cambria Math"/>
                      <w:lang w:val="en-GB"/>
                    </w:rPr>
                    <m:t>-5</m:t>
                  </m:r>
                </m:e>
                <m:e>
                  <m:r>
                    <m:rPr>
                      <m:sty m:val="p"/>
                    </m:rPr>
                    <w:rPr>
                      <w:rFonts w:ascii="Cambria Math" w:hAnsi="Cambria Math"/>
                      <w:lang w:val="en-GB"/>
                    </w:rPr>
                    <m:t>if</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.R.v)&gt;5</m:t>
                      </m:r>
                    </m:e>
                  </m:func>
                </m:e>
              </m:mr>
              <m:mr>
                <m:e>
                  <m:r>
                    <w:rPr>
                      <w:rFonts w:ascii="Cambria Math" w:hAnsi="Cambria Math"/>
                      <w:lang w:val="en-GB"/>
                    </w:rPr>
                    <m:t>0</m:t>
                  </m:r>
                </m:e>
                <m:e>
                  <m:r>
                    <m:rPr>
                      <m:sty m:val="p"/>
                    </m:rPr>
                    <w:rPr>
                      <w:rFonts w:ascii="Cambria Math" w:hAnsi="Cambria Math"/>
                      <w:lang w:val="en-GB"/>
                    </w:rPr>
                    <m:t>otherwise</m:t>
                  </m:r>
                </m:e>
              </m:mr>
            </m:m>
          </m:e>
        </m:d>
      </m:oMath>
    </w:p>
    <w:p w14:paraId="3CD784A8" w14:textId="2C6B9914" w:rsidR="00374018" w:rsidRPr="009F057B" w:rsidRDefault="00374018" w:rsidP="00374018">
      <w:pPr>
        <w:pStyle w:val="ListParagraph"/>
        <w:numPr>
          <w:ilvl w:val="0"/>
          <w:numId w:val="27"/>
        </w:numPr>
        <w:pBdr>
          <w:top w:val="single" w:sz="4" w:space="1" w:color="auto"/>
          <w:left w:val="single" w:sz="4" w:space="4" w:color="auto"/>
          <w:bottom w:val="single" w:sz="4" w:space="1" w:color="auto"/>
          <w:right w:val="single" w:sz="4" w:space="4" w:color="auto"/>
        </w:pBdr>
        <w:spacing w:line="360" w:lineRule="auto"/>
        <w:ind w:left="1080" w:right="1080"/>
        <w:jc w:val="both"/>
        <w:rPr>
          <w:iCs/>
        </w:rPr>
      </w:pPr>
      <w:r>
        <w:rPr>
          <w:iCs/>
        </w:rPr>
        <w:t xml:space="preserve">Let </w:t>
      </w:r>
      <m:oMath>
        <m:r>
          <w:rPr>
            <w:rFonts w:ascii="Cambria Math" w:hAnsi="Cambria Math"/>
          </w:rPr>
          <m:t>X≥0</m:t>
        </m:r>
      </m:oMath>
      <w:r>
        <w:rPr>
          <w:iCs/>
        </w:rPr>
        <w:t xml:space="preserve"> be the rate back-off offset. </w:t>
      </w:r>
    </w:p>
    <w:p w14:paraId="3308F7B9" w14:textId="77777777" w:rsidR="00374018" w:rsidRPr="00BA5B69" w:rsidRDefault="00374018" w:rsidP="00374018">
      <w:pPr>
        <w:pStyle w:val="ListParagraph"/>
        <w:numPr>
          <w:ilvl w:val="0"/>
          <w:numId w:val="27"/>
        </w:numPr>
        <w:pBdr>
          <w:top w:val="single" w:sz="4" w:space="1" w:color="auto"/>
          <w:left w:val="single" w:sz="4" w:space="4" w:color="auto"/>
          <w:bottom w:val="single" w:sz="4" w:space="1" w:color="auto"/>
          <w:right w:val="single" w:sz="4" w:space="4" w:color="auto"/>
        </w:pBdr>
        <w:spacing w:line="360" w:lineRule="auto"/>
        <w:ind w:left="1080" w:right="1080"/>
        <w:jc w:val="both"/>
        <w:rPr>
          <w:iCs/>
        </w:rPr>
      </w:pPr>
      <m:oMath>
        <m:sSub>
          <m:sSubPr>
            <m:ctrlPr>
              <w:rPr>
                <w:rFonts w:ascii="Cambria Math" w:hAnsi="Cambria Math"/>
                <w:i/>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-X</m:t>
        </m:r>
      </m:oMath>
      <w:r>
        <w:t>.</w:t>
      </w:r>
    </w:p>
    <w:p w14:paraId="7A14541D" w14:textId="77777777" w:rsidR="00374018" w:rsidRPr="005E5F32" w:rsidRDefault="00374018" w:rsidP="00374018">
      <w:pPr>
        <w:pStyle w:val="ListParagraph"/>
        <w:numPr>
          <w:ilvl w:val="0"/>
          <w:numId w:val="27"/>
        </w:numPr>
        <w:pBdr>
          <w:top w:val="single" w:sz="4" w:space="1" w:color="auto"/>
          <w:left w:val="single" w:sz="4" w:space="4" w:color="auto"/>
          <w:bottom w:val="single" w:sz="4" w:space="1" w:color="auto"/>
          <w:right w:val="single" w:sz="4" w:space="4" w:color="auto"/>
        </w:pBdr>
        <w:spacing w:line="360" w:lineRule="auto"/>
        <w:ind w:left="1080" w:right="1080"/>
      </w:pPr>
      <w:r w:rsidRPr="005E5F32">
        <w:t>BG2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 xml:space="preserve">=3840) </m:t>
        </m:r>
      </m:oMath>
      <w:r w:rsidRPr="005E5F32">
        <w:t xml:space="preserve">is chosen when </w:t>
      </w:r>
      <m:oMath>
        <m:r>
          <w:rPr>
            <w:rFonts w:ascii="Cambria Math" w:hAnsi="Cambria Math"/>
          </w:rPr>
          <m:t>(R≤0.25)</m:t>
        </m:r>
      </m:oMath>
      <w:r w:rsidRPr="005E5F32">
        <w:t xml:space="preserve"> or </w:t>
      </w:r>
      <m:oMath>
        <m:r>
          <w:rPr>
            <w:rFonts w:ascii="Cambria Math" w:hAnsi="Cambria Math"/>
          </w:rPr>
          <m:t>(R≤</m:t>
        </m:r>
        <m:r>
          <m:rPr>
            <m:sty m:val="p"/>
          </m:rPr>
          <w:rPr>
            <w:rFonts w:ascii="Cambria Math" w:hAnsi="Cambria Math"/>
          </w:rPr>
          <m:t>0.67 and</m:t>
        </m:r>
        <m:r>
          <w:rPr>
            <w:rFonts w:ascii="Cambria Math" w:hAnsi="Cambria Math"/>
          </w:rPr>
          <m:t>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Pr="005E5F32">
        <w:t xml:space="preserve"> or </w:t>
      </w:r>
      <m:oMath>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≤288)</m:t>
        </m:r>
      </m:oMath>
      <w:r w:rsidRPr="005E5F32">
        <w:rPr>
          <w:iCs/>
        </w:rPr>
        <w:t xml:space="preserve">; otherwise, BG1 </w:t>
      </w:r>
      <m:oMath>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=8448)</m:t>
        </m:r>
      </m:oMath>
      <w:r w:rsidRPr="005E5F32">
        <w:rPr>
          <w:iCs/>
        </w:rPr>
        <w:t xml:space="preserve"> is chosen.</w:t>
      </w:r>
    </w:p>
    <w:p w14:paraId="78EBC98D" w14:textId="77777777" w:rsidR="00374018" w:rsidRPr="005E5F32" w:rsidRDefault="00374018" w:rsidP="00374018">
      <w:pPr>
        <w:pStyle w:val="ListParagraph"/>
        <w:numPr>
          <w:ilvl w:val="0"/>
          <w:numId w:val="27"/>
        </w:numPr>
        <w:pBdr>
          <w:top w:val="single" w:sz="4" w:space="1" w:color="auto"/>
          <w:left w:val="single" w:sz="4" w:space="4" w:color="auto"/>
          <w:bottom w:val="single" w:sz="4" w:space="1" w:color="auto"/>
          <w:right w:val="single" w:sz="4" w:space="4" w:color="auto"/>
        </w:pBdr>
        <w:spacing w:line="360" w:lineRule="auto"/>
        <w:ind w:left="1080" w:right="1080"/>
      </w:pP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=16</m:t>
        </m:r>
      </m:oMath>
      <w:r w:rsidRPr="005E5F32">
        <w:t xml:space="preserve"> if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Pr="005E5F32">
        <w:t xml:space="preserve">; otherwise,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5E5F32">
        <w:t>.</w:t>
      </w:r>
    </w:p>
    <w:p w14:paraId="08A03185" w14:textId="77777777" w:rsidR="00374018" w:rsidRPr="005E5F32" w:rsidRDefault="00374018" w:rsidP="00374018">
      <w:pPr>
        <w:pStyle w:val="ListParagraph"/>
        <w:numPr>
          <w:ilvl w:val="0"/>
          <w:numId w:val="27"/>
        </w:numPr>
        <w:pBdr>
          <w:top w:val="single" w:sz="4" w:space="1" w:color="auto"/>
          <w:left w:val="single" w:sz="4" w:space="4" w:color="auto"/>
          <w:bottom w:val="single" w:sz="4" w:space="1" w:color="auto"/>
          <w:right w:val="single" w:sz="4" w:space="4" w:color="auto"/>
        </w:pBdr>
        <w:spacing w:line="360" w:lineRule="auto"/>
        <w:ind w:left="1080" w:right="1080"/>
      </w:pPr>
      <w:r w:rsidRPr="005E5F32">
        <w:t>No segmentation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=0</m:t>
        </m:r>
      </m:oMath>
      <w:r w:rsidRPr="005E5F32">
        <w:t xml:space="preserve">) when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cb</m:t>
            </m:r>
          </m:sub>
        </m:sSub>
      </m:oMath>
      <w:r w:rsidRPr="005E5F32">
        <w:rPr>
          <w:iCs/>
        </w:rPr>
        <w:t>; otherwise, the TB is segmented into more than one CB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5E5F32">
        <w:t>.</w:t>
      </w:r>
    </w:p>
    <w:p w14:paraId="04986235" w14:textId="77777777" w:rsidR="00374018" w:rsidRPr="005E5F32" w:rsidRDefault="00374018" w:rsidP="00374018">
      <w:pPr>
        <w:pStyle w:val="ListParagraph"/>
        <w:numPr>
          <w:ilvl w:val="0"/>
          <w:numId w:val="27"/>
        </w:numPr>
        <w:pBdr>
          <w:top w:val="single" w:sz="4" w:space="1" w:color="auto"/>
          <w:left w:val="single" w:sz="4" w:space="4" w:color="auto"/>
          <w:bottom w:val="single" w:sz="4" w:space="1" w:color="auto"/>
          <w:right w:val="single" w:sz="4" w:space="4" w:color="auto"/>
        </w:pBdr>
        <w:spacing w:line="360" w:lineRule="auto"/>
        <w:ind w:left="1080" w:right="1080"/>
      </w:pPr>
      <m:oMath>
        <m:r>
          <w:rPr>
            <w:rFonts w:ascii="Cambria Math" w:hAnsi="Cambria Math"/>
          </w:rPr>
          <m:t>TBS= 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Pr="005E5F32">
        <w:t>.</w:t>
      </w:r>
    </w:p>
    <w:p w14:paraId="45EC8AC1" w14:textId="77777777" w:rsidR="00374018" w:rsidRDefault="00374018" w:rsidP="00454843">
      <w:pPr>
        <w:rPr>
          <w:lang w:val="en-GB"/>
        </w:rPr>
      </w:pPr>
    </w:p>
    <w:p w14:paraId="37FF2148" w14:textId="5F5482F3" w:rsidR="00170931" w:rsidRDefault="00170931" w:rsidP="00170931">
      <w:pPr>
        <w:pStyle w:val="Heading1"/>
      </w:pPr>
      <w:r>
        <w:t>Overhead</w:t>
      </w:r>
    </w:p>
    <w:p w14:paraId="48309CE9" w14:textId="768BE7BC" w:rsidR="00170931" w:rsidRDefault="00AE3D08" w:rsidP="00C01C99">
      <w:pPr>
        <w:jc w:val="both"/>
        <w:rPr>
          <w:lang w:val="en-GB"/>
        </w:rPr>
      </w:pPr>
      <w:r>
        <w:rPr>
          <w:lang w:val="en-GB"/>
        </w:rPr>
        <w:t xml:space="preserve">The overhead as the relative increase in the effective rate compared to the nominal code from the MCS entry. The effective rate itself is defined as </w:t>
      </w:r>
      <m:oMath>
        <m:r>
          <w:rPr>
            <w:rFonts w:ascii="Cambria Math" w:hAnsi="Cambria Math"/>
            <w:lang w:val="en-GB"/>
          </w:rPr>
          <m:t>(TBS+</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TB,CRC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.v)</m:t>
        </m:r>
      </m:oMath>
      <w:r>
        <w:rPr>
          <w:lang w:val="en-GB"/>
        </w:rPr>
        <w:t xml:space="preserve">. In this section, the overhead and the impact of the rate back-off offset, </w:t>
      </w:r>
      <m:oMath>
        <m:r>
          <w:rPr>
            <w:rFonts w:ascii="Cambria Math" w:hAnsi="Cambria Math"/>
            <w:lang w:val="en-GB"/>
          </w:rPr>
          <m:t>X</m:t>
        </m:r>
      </m:oMath>
      <w:r>
        <w:rPr>
          <w:lang w:val="en-GB"/>
        </w:rPr>
        <w:t>, are studied.</w:t>
      </w:r>
    </w:p>
    <w:p w14:paraId="7046042A" w14:textId="602FD607" w:rsidR="00287173" w:rsidRDefault="00287173" w:rsidP="00C01C99">
      <w:pPr>
        <w:jc w:val="both"/>
        <w:rPr>
          <w:lang w:val="en-GB"/>
        </w:rPr>
      </w:pPr>
      <w:r>
        <w:rPr>
          <w:lang w:val="en-GB"/>
        </w:rPr>
        <w:t>The overhead is calculated for the following combinations of parameters. It should be noted that some combination would not normally be utilized by the scheduler, but are included for completeness.</w:t>
      </w:r>
    </w:p>
    <w:p w14:paraId="2632C594" w14:textId="2A3620F9" w:rsidR="00287173" w:rsidRDefault="00683214" w:rsidP="00287173">
      <w:pPr>
        <w:pStyle w:val="ListParagraph"/>
        <w:numPr>
          <w:ilvl w:val="0"/>
          <w:numId w:val="20"/>
        </w:numPr>
        <w:rPr>
          <w:lang w:val="en-GB"/>
        </w:rPr>
      </w:pP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∈[6, 12*3264]</m:t>
        </m:r>
      </m:oMath>
      <w:r w:rsidR="00287173">
        <w:rPr>
          <w:lang w:val="en-GB"/>
        </w:rPr>
        <w:t xml:space="preserve"> in 1 RE steps.</w:t>
      </w:r>
    </w:p>
    <w:p w14:paraId="130EF431" w14:textId="2B652769" w:rsidR="00287173" w:rsidRDefault="00683214" w:rsidP="00287173">
      <w:pPr>
        <w:pStyle w:val="ListParagraph"/>
        <w:numPr>
          <w:ilvl w:val="0"/>
          <w:numId w:val="20"/>
        </w:numPr>
        <w:rPr>
          <w:lang w:val="en-GB"/>
        </w:rPr>
      </w:pP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∈{2, 4, 6, 8}</m:t>
        </m:r>
      </m:oMath>
    </w:p>
    <w:p w14:paraId="62A5B79E" w14:textId="784E2CD7" w:rsidR="00287173" w:rsidRDefault="00287173" w:rsidP="00287173">
      <w:pPr>
        <w:pStyle w:val="ListParagraph"/>
        <w:numPr>
          <w:ilvl w:val="0"/>
          <w:numId w:val="20"/>
        </w:numPr>
        <w:rPr>
          <w:lang w:val="en-GB"/>
        </w:rPr>
      </w:pPr>
      <m:oMath>
        <m:r>
          <w:rPr>
            <w:rFonts w:ascii="Cambria Math" w:hAnsi="Cambria Math"/>
            <w:lang w:val="en-GB"/>
          </w:rPr>
          <m:t>v ∈{1, 2, 4}</m:t>
        </m:r>
      </m:oMath>
    </w:p>
    <w:p w14:paraId="6A1B2D7D" w14:textId="3444FC8E" w:rsidR="00287173" w:rsidRDefault="00287173" w:rsidP="00287173">
      <w:pPr>
        <w:pStyle w:val="ListParagraph"/>
        <w:numPr>
          <w:ilvl w:val="0"/>
          <w:numId w:val="20"/>
        </w:numPr>
        <w:rPr>
          <w:lang w:val="en-GB"/>
        </w:rPr>
      </w:pPr>
      <m:oMath>
        <m:r>
          <w:rPr>
            <w:rFonts w:ascii="Cambria Math" w:hAnsi="Cambria Math"/>
            <w:lang w:val="en-GB"/>
          </w:rPr>
          <m:t>R ∈[0.1, 0.94]</m:t>
        </m:r>
      </m:oMath>
      <w:r>
        <w:rPr>
          <w:lang w:val="en-GB"/>
        </w:rPr>
        <w:t xml:space="preserve"> in 0.01 steps.</w:t>
      </w:r>
    </w:p>
    <w:p w14:paraId="5599ADE0" w14:textId="7AC8986F" w:rsidR="00287173" w:rsidRDefault="00287173" w:rsidP="00287173">
      <w:pPr>
        <w:rPr>
          <w:lang w:val="en-GB"/>
        </w:rPr>
      </w:pPr>
    </w:p>
    <w:p w14:paraId="2810EB29" w14:textId="073A2FBC" w:rsidR="00C01C99" w:rsidRDefault="00C01C99" w:rsidP="00C01C99">
      <w:pPr>
        <w:jc w:val="both"/>
        <w:rPr>
          <w:lang w:val="en-GB"/>
        </w:rPr>
      </w:pPr>
      <w:r>
        <w:rPr>
          <w:lang w:val="en-GB"/>
        </w:rPr>
        <w:fldChar w:fldCharType="begin"/>
      </w:r>
      <w:r>
        <w:rPr>
          <w:lang w:val="en-GB"/>
        </w:rPr>
        <w:instrText xml:space="preserve"> REF _Ref498689902 \h  \* MERGEFORMAT </w:instrText>
      </w:r>
      <w:r>
        <w:rPr>
          <w:lang w:val="en-GB"/>
        </w:rPr>
      </w:r>
      <w:r>
        <w:rPr>
          <w:lang w:val="en-GB"/>
        </w:rPr>
        <w:fldChar w:fldCharType="separate"/>
      </w:r>
      <w:r w:rsidR="001418AE">
        <w:t xml:space="preserve">Figure </w:t>
      </w:r>
      <w:r w:rsidR="001418AE">
        <w:rPr>
          <w:noProof/>
        </w:rPr>
        <w:t>2</w:t>
      </w:r>
      <w:r>
        <w:rPr>
          <w:lang w:val="en-GB"/>
        </w:rPr>
        <w:fldChar w:fldCharType="end"/>
      </w:r>
      <w:r>
        <w:rPr>
          <w:lang w:val="en-GB"/>
        </w:rPr>
        <w:t xml:space="preserve"> shows the cumulative distribution function (CDF) of the overhead without any rate back-off factor (</w:t>
      </w:r>
      <m:oMath>
        <m:r>
          <w:rPr>
            <w:rFonts w:ascii="Cambria Math" w:hAnsi="Cambria Math"/>
            <w:lang w:val="en-GB"/>
          </w:rPr>
          <m:t>X=0)</m:t>
        </m:r>
      </m:oMath>
      <w:r>
        <w:rPr>
          <w:lang w:val="en-GB"/>
        </w:rPr>
        <w:t xml:space="preserve">. It can be observed that all TBs with TBS &gt; 8424 have overhead &lt; 1%. Those with TBS &gt; 1000 all have overhead &lt; 2.5%. Once TBs with 40 &lt;= TBS &lt; 1000 are included, the increases significantly. This is expected </w:t>
      </w:r>
      <w:r w:rsidR="00000CD8">
        <w:rPr>
          <w:lang w:val="en-GB"/>
        </w:rPr>
        <w:t>since for such small TBs, the TB CRC constitutes a significant portion of the payload.</w:t>
      </w:r>
    </w:p>
    <w:p w14:paraId="5440CB74" w14:textId="77777777" w:rsidR="00C01C99" w:rsidRDefault="003D21BF" w:rsidP="00AE3D08">
      <w:pPr>
        <w:pStyle w:val="Caption"/>
        <w:jc w:val="center"/>
      </w:pPr>
      <w:r w:rsidRPr="003D21BF">
        <w:rPr>
          <w:noProof/>
          <w:lang w:val="en-GB"/>
        </w:rPr>
        <w:drawing>
          <wp:inline distT="0" distB="0" distL="0" distR="0" wp14:anchorId="41E6747F" wp14:editId="0BFA1C70">
            <wp:extent cx="6332220" cy="47976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4797665"/>
                    </a:xfrm>
                    <a:prstGeom prst="rect">
                      <a:avLst/>
                    </a:prstGeom>
                    <a:noFill/>
                    <a:ln>
                      <a:noFill/>
                    </a:ln>
                  </pic:spPr>
                </pic:pic>
              </a:graphicData>
            </a:graphic>
          </wp:inline>
        </w:drawing>
      </w:r>
    </w:p>
    <w:p w14:paraId="7B0AAD7D" w14:textId="30BA4622" w:rsidR="0039609D" w:rsidRDefault="00AE3D08" w:rsidP="0039609D">
      <w:pPr>
        <w:pStyle w:val="Caption"/>
        <w:jc w:val="center"/>
      </w:pPr>
      <w:bookmarkStart w:id="9" w:name="_Ref498689902"/>
      <w:r>
        <w:t xml:space="preserve">Figure </w:t>
      </w:r>
      <w:r w:rsidR="00683214">
        <w:fldChar w:fldCharType="begin"/>
      </w:r>
      <w:r w:rsidR="00683214">
        <w:instrText xml:space="preserve"> SEQ Figure \* ARABIC </w:instrText>
      </w:r>
      <w:r w:rsidR="00683214">
        <w:fldChar w:fldCharType="separate"/>
      </w:r>
      <w:r w:rsidR="001418AE">
        <w:rPr>
          <w:noProof/>
        </w:rPr>
        <w:t>2</w:t>
      </w:r>
      <w:r w:rsidR="00683214">
        <w:rPr>
          <w:noProof/>
        </w:rPr>
        <w:fldChar w:fldCharType="end"/>
      </w:r>
      <w:bookmarkEnd w:id="9"/>
      <w:r>
        <w:t xml:space="preserve"> Overhead of the proposed scheme without rate back-off</w:t>
      </w:r>
    </w:p>
    <w:p w14:paraId="6A04A4C3" w14:textId="0C1102AB" w:rsidR="0039609D" w:rsidRDefault="0039609D" w:rsidP="0039609D">
      <w:pPr>
        <w:rPr>
          <w:lang w:val="en-GB"/>
        </w:rPr>
      </w:pPr>
      <w:r>
        <w:rPr>
          <w:lang w:val="en-GB"/>
        </w:rPr>
        <w:t xml:space="preserve">When a back-off offset of 16 is introduced, the overhead decreases as shown in </w:t>
      </w:r>
      <w:r>
        <w:rPr>
          <w:lang w:val="en-GB"/>
        </w:rPr>
        <w:fldChar w:fldCharType="begin"/>
      </w:r>
      <w:r>
        <w:rPr>
          <w:lang w:val="en-GB"/>
        </w:rPr>
        <w:instrText xml:space="preserve"> REF _Ref498689907 \h </w:instrText>
      </w:r>
      <w:r>
        <w:rPr>
          <w:lang w:val="en-GB"/>
        </w:rPr>
      </w:r>
      <w:r>
        <w:rPr>
          <w:lang w:val="en-GB"/>
        </w:rPr>
        <w:fldChar w:fldCharType="separate"/>
      </w:r>
      <w:r w:rsidR="001418AE">
        <w:t xml:space="preserve">Figure </w:t>
      </w:r>
      <w:r w:rsidR="001418AE">
        <w:rPr>
          <w:noProof/>
        </w:rPr>
        <w:t>3</w:t>
      </w:r>
      <w:r>
        <w:rPr>
          <w:lang w:val="en-GB"/>
        </w:rPr>
        <w:fldChar w:fldCharType="end"/>
      </w:r>
      <w:r>
        <w:rPr>
          <w:lang w:val="en-GB"/>
        </w:rPr>
        <w:t>. This is due to the back-off offset preventing some cases with small allocation and too high or too low rates.</w:t>
      </w:r>
    </w:p>
    <w:p w14:paraId="53BE2C91" w14:textId="77777777" w:rsidR="00C01C99" w:rsidRDefault="003D21BF" w:rsidP="00AE3D08">
      <w:pPr>
        <w:pStyle w:val="Caption"/>
        <w:jc w:val="center"/>
      </w:pPr>
      <w:r w:rsidRPr="003D21BF">
        <w:rPr>
          <w:noProof/>
          <w:lang w:val="en-GB"/>
        </w:rPr>
        <w:drawing>
          <wp:inline distT="0" distB="0" distL="0" distR="0" wp14:anchorId="619E6E86" wp14:editId="71FB73F1">
            <wp:extent cx="6332220" cy="47976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4797665"/>
                    </a:xfrm>
                    <a:prstGeom prst="rect">
                      <a:avLst/>
                    </a:prstGeom>
                    <a:noFill/>
                    <a:ln>
                      <a:noFill/>
                    </a:ln>
                  </pic:spPr>
                </pic:pic>
              </a:graphicData>
            </a:graphic>
          </wp:inline>
        </w:drawing>
      </w:r>
    </w:p>
    <w:p w14:paraId="02210771" w14:textId="2BB64109" w:rsidR="003D21BF" w:rsidRDefault="00AE3D08" w:rsidP="00AE3D08">
      <w:pPr>
        <w:pStyle w:val="Caption"/>
        <w:jc w:val="center"/>
      </w:pPr>
      <w:bookmarkStart w:id="10" w:name="_Ref498689907"/>
      <w:r>
        <w:t xml:space="preserve">Figure </w:t>
      </w:r>
      <w:r w:rsidR="00683214">
        <w:fldChar w:fldCharType="begin"/>
      </w:r>
      <w:r w:rsidR="00683214">
        <w:instrText xml:space="preserve"> SEQ Figure \* ARABIC </w:instrText>
      </w:r>
      <w:r w:rsidR="00683214">
        <w:fldChar w:fldCharType="separate"/>
      </w:r>
      <w:r w:rsidR="001418AE">
        <w:rPr>
          <w:noProof/>
        </w:rPr>
        <w:t>3</w:t>
      </w:r>
      <w:r w:rsidR="00683214">
        <w:rPr>
          <w:noProof/>
        </w:rPr>
        <w:fldChar w:fldCharType="end"/>
      </w:r>
      <w:bookmarkEnd w:id="10"/>
      <w:r w:rsidRPr="00AE3D08">
        <w:t xml:space="preserve"> </w:t>
      </w:r>
      <w:r>
        <w:t xml:space="preserve">Overhead of the proposed scheme </w:t>
      </w:r>
      <w:r w:rsidR="00287173">
        <w:t>with X = 16</w:t>
      </w:r>
    </w:p>
    <w:p w14:paraId="6894E17D" w14:textId="3B219518" w:rsidR="0039609D" w:rsidRPr="00287173" w:rsidRDefault="0039609D" w:rsidP="0039609D">
      <w:pPr>
        <w:rPr>
          <w:lang w:val="en-GB"/>
        </w:rPr>
      </w:pPr>
      <w:r>
        <w:rPr>
          <w:lang w:val="en-GB"/>
        </w:rPr>
        <w:t xml:space="preserve">Setting </w:t>
      </w:r>
      <m:oMath>
        <m:r>
          <w:rPr>
            <w:rFonts w:ascii="Cambria Math" w:hAnsi="Cambria Math"/>
            <w:lang w:val="en-GB"/>
          </w:rPr>
          <m:t>X</m:t>
        </m:r>
      </m:oMath>
      <w:r>
        <w:rPr>
          <w:lang w:val="en-GB"/>
        </w:rPr>
        <w:t xml:space="preserve"> to 24 further reduces the overhead as illustrated in </w:t>
      </w:r>
      <w:r>
        <w:rPr>
          <w:lang w:val="en-GB"/>
        </w:rPr>
        <w:fldChar w:fldCharType="begin"/>
      </w:r>
      <w:r>
        <w:rPr>
          <w:lang w:val="en-GB"/>
        </w:rPr>
        <w:instrText xml:space="preserve"> REF _Ref498689908 \h </w:instrText>
      </w:r>
      <w:r>
        <w:rPr>
          <w:lang w:val="en-GB"/>
        </w:rPr>
      </w:r>
      <w:r>
        <w:rPr>
          <w:lang w:val="en-GB"/>
        </w:rPr>
        <w:fldChar w:fldCharType="separate"/>
      </w:r>
      <w:r w:rsidR="001418AE">
        <w:t xml:space="preserve">Figure </w:t>
      </w:r>
      <w:r w:rsidR="001418AE">
        <w:rPr>
          <w:noProof/>
        </w:rPr>
        <w:t>4</w:t>
      </w:r>
      <w:r>
        <w:rPr>
          <w:lang w:val="en-GB"/>
        </w:rPr>
        <w:fldChar w:fldCharType="end"/>
      </w:r>
      <w:r>
        <w:rPr>
          <w:lang w:val="en-GB"/>
        </w:rPr>
        <w:t>. In this case, all TBs have overhead &lt;= 0.4%.</w:t>
      </w:r>
    </w:p>
    <w:p w14:paraId="0EFBBEA7" w14:textId="77777777" w:rsidR="00C01C99" w:rsidRDefault="00985E1C" w:rsidP="00287173">
      <w:pPr>
        <w:pStyle w:val="Caption"/>
        <w:jc w:val="center"/>
      </w:pPr>
      <w:r w:rsidRPr="00985E1C">
        <w:rPr>
          <w:noProof/>
          <w:lang w:val="en-GB"/>
        </w:rPr>
        <w:drawing>
          <wp:inline distT="0" distB="0" distL="0" distR="0" wp14:anchorId="479BDA93" wp14:editId="6C11B051">
            <wp:extent cx="6332220" cy="47976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4797665"/>
                    </a:xfrm>
                    <a:prstGeom prst="rect">
                      <a:avLst/>
                    </a:prstGeom>
                    <a:noFill/>
                    <a:ln>
                      <a:noFill/>
                    </a:ln>
                  </pic:spPr>
                </pic:pic>
              </a:graphicData>
            </a:graphic>
          </wp:inline>
        </w:drawing>
      </w:r>
    </w:p>
    <w:p w14:paraId="21F0B75A" w14:textId="76DDCF32" w:rsidR="00287173" w:rsidRDefault="00AE3D08" w:rsidP="00287173">
      <w:pPr>
        <w:pStyle w:val="Caption"/>
        <w:jc w:val="center"/>
        <w:rPr>
          <w:lang w:val="en-GB"/>
        </w:rPr>
      </w:pPr>
      <w:bookmarkStart w:id="11" w:name="_Ref498689908"/>
      <w:r>
        <w:t xml:space="preserve">Figure </w:t>
      </w:r>
      <w:r w:rsidR="00683214">
        <w:fldChar w:fldCharType="begin"/>
      </w:r>
      <w:r w:rsidR="00683214">
        <w:instrText xml:space="preserve"> SEQ Figure \* ARABIC </w:instrText>
      </w:r>
      <w:r w:rsidR="00683214">
        <w:fldChar w:fldCharType="separate"/>
      </w:r>
      <w:r w:rsidR="001418AE">
        <w:rPr>
          <w:noProof/>
        </w:rPr>
        <w:t>4</w:t>
      </w:r>
      <w:r w:rsidR="00683214">
        <w:rPr>
          <w:noProof/>
        </w:rPr>
        <w:fldChar w:fldCharType="end"/>
      </w:r>
      <w:bookmarkEnd w:id="11"/>
      <w:r w:rsidR="00287173" w:rsidRPr="00287173">
        <w:t xml:space="preserve"> </w:t>
      </w:r>
      <w:r w:rsidR="00287173">
        <w:t>Overhead of the proposed scheme with X = 24</w:t>
      </w:r>
    </w:p>
    <w:p w14:paraId="35DE55E5" w14:textId="42FEC596" w:rsidR="00985E1C" w:rsidRPr="00374018" w:rsidRDefault="0039609D" w:rsidP="00287173">
      <w:pPr>
        <w:pStyle w:val="Caption"/>
        <w:rPr>
          <w:b w:val="0"/>
          <w:lang w:val="en-GB"/>
        </w:rPr>
      </w:pPr>
      <w:r w:rsidRPr="0039609D">
        <w:rPr>
          <w:u w:val="single"/>
          <w:lang w:val="en-GB"/>
        </w:rPr>
        <w:t>Observation 1</w:t>
      </w:r>
      <w:r w:rsidR="00374018">
        <w:rPr>
          <w:u w:val="single"/>
          <w:lang w:val="en-GB"/>
        </w:rPr>
        <w:t>1</w:t>
      </w:r>
      <w:r w:rsidRPr="0039609D">
        <w:rPr>
          <w:u w:val="single"/>
          <w:lang w:val="en-GB"/>
        </w:rPr>
        <w:t>:</w:t>
      </w:r>
      <w:r>
        <w:rPr>
          <w:lang w:val="en-GB"/>
        </w:rPr>
        <w:t xml:space="preserve"> </w:t>
      </w:r>
      <w:r w:rsidRPr="00374018">
        <w:rPr>
          <w:b w:val="0"/>
          <w:lang w:val="en-GB"/>
        </w:rPr>
        <w:t>The rate back-off offset significantly reduces overhead.</w:t>
      </w:r>
    </w:p>
    <w:p w14:paraId="4D60DD85" w14:textId="624485BF" w:rsidR="0039609D" w:rsidRPr="0039609D" w:rsidRDefault="0039609D" w:rsidP="0039609D">
      <w:pPr>
        <w:rPr>
          <w:lang w:val="en-GB"/>
        </w:rPr>
      </w:pPr>
      <w:r>
        <w:rPr>
          <w:lang w:val="en-GB"/>
        </w:rPr>
        <w:t>Since a rate back-off offset leads to negligible overhead for all TBSs, the following is proposed:</w:t>
      </w:r>
    </w:p>
    <w:p w14:paraId="76244752" w14:textId="1ADEC69C" w:rsidR="003E7920" w:rsidRDefault="0039609D" w:rsidP="0039609D">
      <w:pPr>
        <w:rPr>
          <w:lang w:val="en-GB"/>
        </w:rPr>
      </w:pPr>
      <w:r w:rsidRPr="0039609D">
        <w:rPr>
          <w:b/>
          <w:u w:val="single"/>
          <w:lang w:val="en-GB"/>
        </w:rPr>
        <w:t>Proposal 2:</w:t>
      </w:r>
      <w:r>
        <w:rPr>
          <w:lang w:val="en-GB"/>
        </w:rPr>
        <w:t xml:space="preserve"> Use a rate back-off offset </w:t>
      </w:r>
      <m:oMath>
        <m:r>
          <w:rPr>
            <w:rFonts w:ascii="Cambria Math" w:hAnsi="Cambria Math"/>
            <w:lang w:val="en-GB"/>
          </w:rPr>
          <m:t>X=24</m:t>
        </m:r>
      </m:oMath>
      <w:r>
        <w:rPr>
          <w:lang w:val="en-GB"/>
        </w:rPr>
        <w:t>.</w:t>
      </w:r>
    </w:p>
    <w:p w14:paraId="37AC913D" w14:textId="71365B5A" w:rsidR="00476A16" w:rsidRDefault="00476A16" w:rsidP="00476A16">
      <w:pPr>
        <w:pStyle w:val="Heading1"/>
      </w:pPr>
      <w:r>
        <w:t>On Base-graph Signalling and Determination</w:t>
      </w:r>
    </w:p>
    <w:p w14:paraId="4D5B733F" w14:textId="3C826935" w:rsidR="00476A16" w:rsidRDefault="000A276E" w:rsidP="0001385A">
      <w:pPr>
        <w:jc w:val="both"/>
        <w:rPr>
          <w:lang w:val="en-GB"/>
        </w:rPr>
      </w:pPr>
      <w:r>
        <w:rPr>
          <w:lang w:val="en-GB"/>
        </w:rPr>
        <w:t xml:space="preserve">According to the RAN1 agreements </w:t>
      </w:r>
      <w:r>
        <w:rPr>
          <w:lang w:val="en-GB"/>
        </w:rPr>
        <w:fldChar w:fldCharType="begin"/>
      </w:r>
      <w:r>
        <w:rPr>
          <w:lang w:val="en-GB"/>
        </w:rPr>
        <w:instrText xml:space="preserve"> REF _Ref498612307 \r \h </w:instrText>
      </w:r>
      <w:r w:rsidR="0001385A">
        <w:rPr>
          <w:lang w:val="en-GB"/>
        </w:rPr>
        <w:instrText xml:space="preserve"> \* MERGEFORMAT </w:instrText>
      </w:r>
      <w:r>
        <w:rPr>
          <w:lang w:val="en-GB"/>
        </w:rPr>
      </w:r>
      <w:r>
        <w:rPr>
          <w:lang w:val="en-GB"/>
        </w:rPr>
        <w:fldChar w:fldCharType="separate"/>
      </w:r>
      <w:r w:rsidR="001418AE">
        <w:rPr>
          <w:lang w:val="en-GB"/>
        </w:rPr>
        <w:t>[1]</w:t>
      </w:r>
      <w:r>
        <w:rPr>
          <w:lang w:val="en-GB"/>
        </w:rPr>
        <w:fldChar w:fldCharType="end"/>
      </w:r>
      <w:r>
        <w:rPr>
          <w:lang w:val="en-GB"/>
        </w:rPr>
        <w:t>,</w:t>
      </w:r>
      <w:r w:rsidR="00787872">
        <w:rPr>
          <w:lang w:val="en-GB"/>
        </w:rPr>
        <w:t xml:space="preserve"> a single base-graph is used for the initial and subsequent transmissions of a TB. In some cases, the MCS level or resource allocation can change during retransmission. This could cause ambiguity in base-graph selection when the DCI of the initial transmission is missed. One of the proposed solution is to explicitly signal the base-graph choice in DCI </w:t>
      </w:r>
      <w:r w:rsidR="00787872">
        <w:rPr>
          <w:lang w:val="en-GB"/>
        </w:rPr>
        <w:fldChar w:fldCharType="begin"/>
      </w:r>
      <w:r w:rsidR="00787872">
        <w:rPr>
          <w:lang w:val="en-GB"/>
        </w:rPr>
        <w:instrText xml:space="preserve"> REF _Ref498612979 \r \h </w:instrText>
      </w:r>
      <w:r w:rsidR="0001385A">
        <w:rPr>
          <w:lang w:val="en-GB"/>
        </w:rPr>
        <w:instrText xml:space="preserve"> \* MERGEFORMAT </w:instrText>
      </w:r>
      <w:r w:rsidR="00787872">
        <w:rPr>
          <w:lang w:val="en-GB"/>
        </w:rPr>
      </w:r>
      <w:r w:rsidR="00787872">
        <w:rPr>
          <w:lang w:val="en-GB"/>
        </w:rPr>
        <w:fldChar w:fldCharType="separate"/>
      </w:r>
      <w:r w:rsidR="001418AE">
        <w:rPr>
          <w:lang w:val="en-GB"/>
        </w:rPr>
        <w:t>[4]</w:t>
      </w:r>
      <w:r w:rsidR="00787872">
        <w:rPr>
          <w:lang w:val="en-GB"/>
        </w:rPr>
        <w:fldChar w:fldCharType="end"/>
      </w:r>
      <w:r w:rsidR="00787872">
        <w:rPr>
          <w:lang w:val="en-GB"/>
        </w:rPr>
        <w:t xml:space="preserve">. However, this increases DCI overhead and still requires defining the UE behaviour if the indicator bit is toggled during retransmission. </w:t>
      </w:r>
      <w:r w:rsidR="004A2940">
        <w:rPr>
          <w:lang w:val="en-GB"/>
        </w:rPr>
        <w:t>Since the behaviour must be defined, and to avoid increasing DCI overhead, it is most efficient to implicitly determine the base-graph and to not require the UE to decode if base-graph determination procedure results in a base-graph change during retransmission.</w:t>
      </w:r>
    </w:p>
    <w:p w14:paraId="6EAA907C" w14:textId="1F9192B6" w:rsidR="004A2940" w:rsidRDefault="004A2940" w:rsidP="00476A16">
      <w:pPr>
        <w:rPr>
          <w:lang w:val="en-GB"/>
        </w:rPr>
      </w:pPr>
      <w:r w:rsidRPr="004A2940">
        <w:rPr>
          <w:b/>
          <w:u w:val="single"/>
          <w:lang w:val="en-GB"/>
        </w:rPr>
        <w:t>Proposal 3:</w:t>
      </w:r>
      <w:r>
        <w:rPr>
          <w:lang w:val="en-GB"/>
        </w:rPr>
        <w:t xml:space="preserve"> The base-graph is implicitly determined from MCS, resource allocation, and number of layers.</w:t>
      </w:r>
    </w:p>
    <w:p w14:paraId="3BED0D89" w14:textId="34F4DDC2" w:rsidR="004A2940" w:rsidRDefault="004A2940" w:rsidP="00476A16">
      <w:pPr>
        <w:rPr>
          <w:lang w:val="en-GB"/>
        </w:rPr>
      </w:pPr>
      <w:r w:rsidRPr="004A2940">
        <w:rPr>
          <w:b/>
          <w:u w:val="single"/>
          <w:lang w:val="en-GB"/>
        </w:rPr>
        <w:t>Proposal 4:</w:t>
      </w:r>
      <w:r>
        <w:rPr>
          <w:lang w:val="en-GB"/>
        </w:rPr>
        <w:t xml:space="preserve"> The UE is not required to decode if the base-graph determination procedure indicates a change in base-graph during retransmission.</w:t>
      </w:r>
    </w:p>
    <w:p w14:paraId="43B7F891" w14:textId="67851BEF" w:rsidR="004503F9" w:rsidRDefault="004503F9" w:rsidP="004503F9">
      <w:pPr>
        <w:pStyle w:val="Heading1"/>
        <w:rPr>
          <w:lang w:eastAsia="zh-CN"/>
        </w:rPr>
      </w:pPr>
      <w:r>
        <w:rPr>
          <w:lang w:eastAsia="zh-CN"/>
        </w:rPr>
        <w:t>Conclusions</w:t>
      </w:r>
    </w:p>
    <w:p w14:paraId="6037DBD8" w14:textId="77777777" w:rsidR="008F4949" w:rsidRDefault="008F4949" w:rsidP="008F4949">
      <w:pPr>
        <w:jc w:val="both"/>
      </w:pPr>
      <w:r w:rsidRPr="00E12BB7">
        <w:rPr>
          <w:b/>
          <w:u w:val="single"/>
        </w:rPr>
        <w:t>Observation 1:</w:t>
      </w:r>
      <w:r>
        <w:t xml:space="preserve"> There are circular dependencies between TBS, CBS, and BG determination.</w:t>
      </w:r>
    </w:p>
    <w:p w14:paraId="5EA7CE9E" w14:textId="2FD082D6" w:rsidR="005937E0" w:rsidRDefault="00F43EAB" w:rsidP="005937E0">
      <w:pPr>
        <w:rPr>
          <w:iCs/>
        </w:rPr>
      </w:pPr>
      <w:r>
        <w:rPr>
          <w:b/>
          <w:iCs/>
          <w:u w:val="single"/>
        </w:rPr>
        <w:t>Observation 2</w:t>
      </w:r>
      <w:r w:rsidR="005937E0" w:rsidRPr="004479DD">
        <w:rPr>
          <w:b/>
          <w:iCs/>
          <w:u w:val="single"/>
        </w:rPr>
        <w:t>:</w:t>
      </w:r>
      <w:r w:rsidR="005937E0">
        <w:rPr>
          <w:iCs/>
        </w:rPr>
        <w:t xml:space="preserve"> the proposed procedure satisfies the segmentation conditions in the agreements.</w:t>
      </w:r>
    </w:p>
    <w:p w14:paraId="4F115E7A" w14:textId="57C6DDC3" w:rsidR="005937E0" w:rsidRDefault="00F43EAB" w:rsidP="005937E0">
      <w:pPr>
        <w:rPr>
          <w:iCs/>
        </w:rPr>
      </w:pPr>
      <w:r>
        <w:rPr>
          <w:b/>
          <w:iCs/>
          <w:u w:val="single"/>
        </w:rPr>
        <w:t>Observation 3</w:t>
      </w:r>
      <w:r w:rsidR="005937E0" w:rsidRPr="002118E5">
        <w:rPr>
          <w:b/>
          <w:iCs/>
          <w:u w:val="single"/>
        </w:rPr>
        <w:t>:</w:t>
      </w:r>
      <w:r w:rsidR="005937E0">
        <w:rPr>
          <w:iCs/>
        </w:rPr>
        <w:t xml:space="preserve"> the proposed procedure yields the correct TB-level and CB-level CRC lengths.</w:t>
      </w:r>
    </w:p>
    <w:p w14:paraId="280767C2" w14:textId="6197B99B" w:rsidR="005937E0" w:rsidRPr="00DF2B67" w:rsidRDefault="005937E0" w:rsidP="005937E0">
      <w:pPr>
        <w:rPr>
          <w:lang w:val="en-GB"/>
        </w:rPr>
      </w:pPr>
      <w:r w:rsidRPr="005937E0">
        <w:rPr>
          <w:b/>
          <w:u w:val="single"/>
          <w:lang w:val="en-GB"/>
        </w:rPr>
        <w:t xml:space="preserve">Observation </w:t>
      </w:r>
      <w:r w:rsidR="00F43EAB">
        <w:rPr>
          <w:b/>
          <w:u w:val="single"/>
          <w:lang w:val="en-GB"/>
        </w:rPr>
        <w:t>4</w:t>
      </w:r>
      <w:r>
        <w:rPr>
          <w:lang w:val="en-GB"/>
        </w:rPr>
        <w:t xml:space="preserve">: the proposed procedure yields the correct base-graph choice in accordance with RAN1 agreements. </w:t>
      </w:r>
    </w:p>
    <w:p w14:paraId="52B10F53" w14:textId="6101D196" w:rsidR="005937E0" w:rsidRDefault="005937E0" w:rsidP="005937E0">
      <w:pPr>
        <w:rPr>
          <w:lang w:val="en-GB"/>
        </w:rPr>
      </w:pPr>
      <w:r w:rsidRPr="00454843">
        <w:rPr>
          <w:b/>
          <w:u w:val="single"/>
          <w:lang w:val="en-GB"/>
        </w:rPr>
        <w:t xml:space="preserve">Observation </w:t>
      </w:r>
      <w:r w:rsidR="00F43EAB">
        <w:rPr>
          <w:b/>
          <w:u w:val="single"/>
          <w:lang w:val="en-GB"/>
        </w:rPr>
        <w:t>5</w:t>
      </w:r>
      <w:r>
        <w:rPr>
          <w:lang w:val="en-GB"/>
        </w:rPr>
        <w:t>: the proposed procedure yields byte-aligned CBSs.</w:t>
      </w:r>
    </w:p>
    <w:p w14:paraId="6DA5BABE" w14:textId="4D971B5C" w:rsidR="005937E0" w:rsidRPr="00454843" w:rsidRDefault="005937E0" w:rsidP="005937E0">
      <w:pPr>
        <w:rPr>
          <w:lang w:val="en-GB"/>
        </w:rPr>
      </w:pPr>
      <w:r w:rsidRPr="00454843">
        <w:rPr>
          <w:b/>
          <w:u w:val="single"/>
          <w:lang w:val="en-GB"/>
        </w:rPr>
        <w:t xml:space="preserve">Observation </w:t>
      </w:r>
      <w:r w:rsidR="00F43EAB">
        <w:rPr>
          <w:b/>
          <w:u w:val="single"/>
          <w:lang w:val="en-GB"/>
        </w:rPr>
        <w:t>6</w:t>
      </w:r>
      <w:r>
        <w:rPr>
          <w:lang w:val="en-GB"/>
        </w:rPr>
        <w:t>: the proposed procedure yields byte-aligned TBSs.</w:t>
      </w:r>
    </w:p>
    <w:p w14:paraId="3412CA9C" w14:textId="35CF1935" w:rsidR="005937E0" w:rsidRPr="00454843" w:rsidRDefault="00F43EAB" w:rsidP="005937E0">
      <w:pPr>
        <w:rPr>
          <w:lang w:val="en-GB"/>
        </w:rPr>
      </w:pPr>
      <w:r>
        <w:rPr>
          <w:b/>
          <w:u w:val="single"/>
          <w:lang w:val="en-GB"/>
        </w:rPr>
        <w:t>Observation 7</w:t>
      </w:r>
      <w:r w:rsidR="005937E0" w:rsidRPr="00454843">
        <w:rPr>
          <w:b/>
          <w:u w:val="single"/>
          <w:lang w:val="en-GB"/>
        </w:rPr>
        <w:t>:</w:t>
      </w:r>
      <w:r w:rsidR="005937E0">
        <w:rPr>
          <w:lang w:val="en-GB"/>
        </w:rPr>
        <w:t xml:space="preserve"> the proposed procedure guarantees that the TB can be segmented in code blocks of equal size.</w:t>
      </w:r>
    </w:p>
    <w:p w14:paraId="4FF38F8C" w14:textId="3191D154" w:rsidR="005937E0" w:rsidRDefault="00F43EAB" w:rsidP="005937E0">
      <w:pPr>
        <w:rPr>
          <w:lang w:val="en-GB"/>
        </w:rPr>
      </w:pPr>
      <w:r>
        <w:rPr>
          <w:b/>
          <w:u w:val="single"/>
          <w:lang w:val="en-GB"/>
        </w:rPr>
        <w:t>Observation 8</w:t>
      </w:r>
      <w:r w:rsidR="005937E0" w:rsidRPr="00454843">
        <w:rPr>
          <w:b/>
          <w:u w:val="single"/>
          <w:lang w:val="en-GB"/>
        </w:rPr>
        <w:t>:</w:t>
      </w:r>
      <w:r w:rsidR="005937E0">
        <w:rPr>
          <w:lang w:val="en-GB"/>
        </w:rPr>
        <w:t xml:space="preserve"> the proposed procedure guarantees no padding when segmenting with BG1.</w:t>
      </w:r>
    </w:p>
    <w:p w14:paraId="4DD6D5A2" w14:textId="50EA95C8" w:rsidR="005937E0" w:rsidRDefault="00F43EAB" w:rsidP="005937E0">
      <w:pPr>
        <w:rPr>
          <w:lang w:val="en-GB"/>
        </w:rPr>
      </w:pPr>
      <w:r>
        <w:rPr>
          <w:b/>
          <w:u w:val="single"/>
          <w:lang w:val="en-GB"/>
        </w:rPr>
        <w:t>Observation 9</w:t>
      </w:r>
      <w:r w:rsidR="005937E0" w:rsidRPr="00454843">
        <w:rPr>
          <w:b/>
          <w:u w:val="single"/>
          <w:lang w:val="en-GB"/>
        </w:rPr>
        <w:t>:</w:t>
      </w:r>
      <w:r w:rsidR="005937E0">
        <w:rPr>
          <w:lang w:val="en-GB"/>
        </w:rPr>
        <w:t xml:space="preserve"> the proposed procedure guarantees no padding when segmenting with BG2.</w:t>
      </w:r>
    </w:p>
    <w:p w14:paraId="5280EB8D" w14:textId="21142547" w:rsidR="00374018" w:rsidRDefault="00374018" w:rsidP="005937E0">
      <w:pPr>
        <w:rPr>
          <w:lang w:val="en-GB"/>
        </w:rPr>
      </w:pPr>
      <w:r w:rsidRPr="00374018">
        <w:rPr>
          <w:b/>
          <w:u w:val="single"/>
          <w:lang w:val="en-GB"/>
        </w:rPr>
        <w:t>Observation 10:</w:t>
      </w:r>
      <w:r>
        <w:rPr>
          <w:lang w:val="en-GB"/>
        </w:rPr>
        <w:t xml:space="preserve"> The proposed scheme with </w:t>
      </w:r>
      <m:oMath>
        <m:r>
          <w:rPr>
            <w:rFonts w:ascii="Cambria Math" w:hAnsi="Cambria Math"/>
            <w:lang w:val="en-GB"/>
          </w:rPr>
          <m:t>X</m:t>
        </m:r>
      </m:oMath>
      <w:r>
        <w:rPr>
          <w:lang w:val="en-GB"/>
        </w:rPr>
        <w:t xml:space="preserv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oMath>
      <w:r>
        <w:rPr>
          <w:lang w:val="en-GB"/>
        </w:rPr>
        <w:t xml:space="preserve"> quantization provides sufficient flexibility for the schedule to maintain TBS during retransmission.</w:t>
      </w:r>
    </w:p>
    <w:p w14:paraId="69BD0890" w14:textId="35133EF6" w:rsidR="0039609D" w:rsidRPr="00374018" w:rsidRDefault="0039609D" w:rsidP="0039609D">
      <w:pPr>
        <w:pStyle w:val="Caption"/>
        <w:rPr>
          <w:b w:val="0"/>
          <w:lang w:val="en-GB"/>
        </w:rPr>
      </w:pPr>
      <w:r w:rsidRPr="0039609D">
        <w:rPr>
          <w:u w:val="single"/>
          <w:lang w:val="en-GB"/>
        </w:rPr>
        <w:t>Observation 1</w:t>
      </w:r>
      <w:r w:rsidR="00374018">
        <w:rPr>
          <w:u w:val="single"/>
          <w:lang w:val="en-GB"/>
        </w:rPr>
        <w:t>1</w:t>
      </w:r>
      <w:r w:rsidRPr="0039609D">
        <w:rPr>
          <w:u w:val="single"/>
          <w:lang w:val="en-GB"/>
        </w:rPr>
        <w:t>:</w:t>
      </w:r>
      <w:r>
        <w:rPr>
          <w:lang w:val="en-GB"/>
        </w:rPr>
        <w:t xml:space="preserve"> </w:t>
      </w:r>
      <w:r w:rsidRPr="00374018">
        <w:rPr>
          <w:b w:val="0"/>
          <w:lang w:val="en-GB"/>
        </w:rPr>
        <w:t>The rate back-off offset significantly reduces overhead.</w:t>
      </w:r>
    </w:p>
    <w:p w14:paraId="416F78A0" w14:textId="77777777" w:rsidR="00374018" w:rsidRDefault="00374018" w:rsidP="00374018">
      <w:r w:rsidRPr="00374018">
        <w:rPr>
          <w:b/>
          <w:u w:val="single"/>
        </w:rPr>
        <w:t>Proposal 1:</w:t>
      </w:r>
      <w:r>
        <w:t xml:space="preserve"> Adopt the following base-graph and TBS determination procedure:</w:t>
      </w:r>
    </w:p>
    <w:p w14:paraId="24C70B65" w14:textId="704FC469" w:rsidR="00374018" w:rsidRPr="00374018" w:rsidRDefault="00374018" w:rsidP="00374018">
      <w:pPr>
        <w:pStyle w:val="ListParagraph"/>
        <w:numPr>
          <w:ilvl w:val="0"/>
          <w:numId w:val="28"/>
        </w:numPr>
        <w:pBdr>
          <w:top w:val="single" w:sz="4" w:space="1" w:color="auto"/>
          <w:left w:val="single" w:sz="4" w:space="4" w:color="auto"/>
          <w:bottom w:val="single" w:sz="4" w:space="1" w:color="auto"/>
          <w:right w:val="single" w:sz="4" w:space="4" w:color="auto"/>
        </w:pBdr>
        <w:spacing w:line="360" w:lineRule="auto"/>
        <w:ind w:left="1080" w:right="1080"/>
        <w:rPr>
          <w:iCs/>
        </w:rPr>
      </w:pPr>
      <w:r>
        <w:rPr>
          <w:iCs/>
        </w:rPr>
        <w:t>L</w:t>
      </w:r>
      <w:r>
        <w:rPr>
          <w:iCs/>
        </w:rPr>
        <w:t xml:space="preserve">et </w:t>
      </w:r>
      <m:oMath>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=2</m:t>
            </m:r>
          </m:e>
          <m:sup>
            <m:r>
              <w:rPr>
                <w:rFonts w:ascii="Cambria Math" w:hAnsi="Cambria Math"/>
                <w:lang w:val="en-GB"/>
              </w:rPr>
              <m:t>n</m:t>
            </m:r>
          </m:sup>
        </m:sSup>
        <m:r>
          <m:rPr>
            <m:sty m:val="p"/>
          </m:rPr>
          <w:rPr>
            <w:rFonts w:ascii="Cambria Math" w:hAnsi="Cambria Math"/>
            <w:lang w:val="en-GB"/>
          </w:rPr>
          <m:t>.</m:t>
        </m:r>
        <m:r>
          <m:rPr>
            <m:sty m:val="p"/>
          </m:rPr>
          <w:rPr>
            <w:rFonts w:ascii="Cambria Math" w:hAnsi="Cambria Math"/>
            <w:lang w:val="en-GB"/>
          </w:rPr>
          <m:t>round</m:t>
        </m:r>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.R.v</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n</m:t>
                    </m:r>
                  </m:sup>
                </m:sSup>
              </m:den>
            </m:f>
          </m:e>
        </m:d>
      </m:oMath>
      <w:r>
        <w:rPr>
          <w:lang w:val="en-GB"/>
        </w:rPr>
        <w:t>, where</w:t>
      </w:r>
    </w:p>
    <w:p w14:paraId="1FDFB87D" w14:textId="72E05FC5" w:rsidR="00374018" w:rsidRPr="00374018" w:rsidRDefault="00374018" w:rsidP="00374018">
      <w:pPr>
        <w:pStyle w:val="ListParagraph"/>
        <w:numPr>
          <w:ilvl w:val="0"/>
          <w:numId w:val="28"/>
        </w:numPr>
        <w:pBdr>
          <w:top w:val="single" w:sz="4" w:space="1" w:color="auto"/>
          <w:left w:val="single" w:sz="4" w:space="4" w:color="auto"/>
          <w:bottom w:val="single" w:sz="4" w:space="1" w:color="auto"/>
          <w:right w:val="single" w:sz="4" w:space="4" w:color="auto"/>
        </w:pBdr>
        <w:spacing w:line="360" w:lineRule="auto"/>
        <w:ind w:left="1080" w:right="1080"/>
        <w:rPr>
          <w:iCs/>
        </w:rPr>
      </w:pPr>
      <m:oMath>
        <m:r>
          <w:rPr>
            <w:rFonts w:ascii="Cambria Math" w:hAnsi="Cambria Math"/>
            <w:lang w:val="en-GB"/>
          </w:rPr>
          <m:t xml:space="preserve">                 </m:t>
        </m:r>
        <m:r>
          <w:rPr>
            <w:rFonts w:ascii="Cambria Math" w:hAnsi="Cambria Math"/>
            <w:lang w:val="en-GB"/>
          </w:rPr>
          <m:t>n</m:t>
        </m:r>
        <m:r>
          <w:rPr>
            <w:rFonts w:ascii="Cambria Math" w:hAnsi="Cambria Math"/>
            <w:lang w:val="en-GB"/>
          </w:rPr>
          <m:t xml:space="preserve">= </m:t>
        </m:r>
        <m:d>
          <m:dPr>
            <m:begChr m:val="{"/>
            <m:endChr m:val=""/>
            <m:ctrlPr>
              <w:rPr>
                <w:rFonts w:ascii="Cambria Math" w:eastAsia="SimSun" w:hAnsi="Cambria Math"/>
                <w:i/>
                <w:sz w:val="20"/>
                <w:szCs w:val="20"/>
                <w:lang w:val="en-GB"/>
              </w:rPr>
            </m:ctrlPr>
          </m:dPr>
          <m:e>
            <m:m>
              <m:mPr>
                <m:mcs>
                  <m:mc>
                    <m:mcPr>
                      <m:count m:val="2"/>
                      <m:mcJc m:val="center"/>
                    </m:mcPr>
                  </m:mc>
                </m:mcs>
                <m:ctrlPr>
                  <w:rPr>
                    <w:rFonts w:ascii="Cambria Math" w:eastAsia="SimSun" w:hAnsi="Cambria Math"/>
                    <w:i/>
                    <w:sz w:val="20"/>
                    <w:szCs w:val="20"/>
                    <w:lang w:val="en-GB"/>
                  </w:rPr>
                </m:ctrlPr>
              </m:mPr>
              <m:mr>
                <m:e>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.R.v</m:t>
                          </m:r>
                        </m:e>
                      </m:func>
                    </m:e>
                  </m:d>
                  <m:r>
                    <w:rPr>
                      <w:rFonts w:ascii="Cambria Math" w:hAnsi="Cambria Math"/>
                      <w:lang w:val="en-GB"/>
                    </w:rPr>
                    <m:t>-5</m:t>
                  </m:r>
                </m:e>
                <m:e>
                  <m:r>
                    <m:rPr>
                      <m:sty m:val="p"/>
                    </m:rPr>
                    <w:rPr>
                      <w:rFonts w:ascii="Cambria Math" w:hAnsi="Cambria Math"/>
                      <w:lang w:val="en-GB"/>
                    </w:rPr>
                    <m:t>if</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.R.v)&gt;5</m:t>
                      </m:r>
                    </m:e>
                  </m:func>
                </m:e>
              </m:mr>
              <m:mr>
                <m:e>
                  <m:r>
                    <w:rPr>
                      <w:rFonts w:ascii="Cambria Math" w:hAnsi="Cambria Math"/>
                      <w:lang w:val="en-GB"/>
                    </w:rPr>
                    <m:t>0</m:t>
                  </m:r>
                </m:e>
                <m:e>
                  <m:r>
                    <m:rPr>
                      <m:sty m:val="p"/>
                    </m:rPr>
                    <w:rPr>
                      <w:rFonts w:ascii="Cambria Math" w:hAnsi="Cambria Math"/>
                      <w:lang w:val="en-GB"/>
                    </w:rPr>
                    <m:t>otherwise</m:t>
                  </m:r>
                </m:e>
              </m:mr>
            </m:m>
          </m:e>
        </m:d>
      </m:oMath>
    </w:p>
    <w:p w14:paraId="64B54563" w14:textId="77777777" w:rsidR="00374018" w:rsidRPr="009F057B" w:rsidRDefault="00374018" w:rsidP="00374018">
      <w:pPr>
        <w:pStyle w:val="ListParagraph"/>
        <w:numPr>
          <w:ilvl w:val="0"/>
          <w:numId w:val="28"/>
        </w:numPr>
        <w:pBdr>
          <w:top w:val="single" w:sz="4" w:space="1" w:color="auto"/>
          <w:left w:val="single" w:sz="4" w:space="4" w:color="auto"/>
          <w:bottom w:val="single" w:sz="4" w:space="1" w:color="auto"/>
          <w:right w:val="single" w:sz="4" w:space="4" w:color="auto"/>
        </w:pBdr>
        <w:spacing w:line="360" w:lineRule="auto"/>
        <w:ind w:left="1080" w:right="1080"/>
        <w:jc w:val="both"/>
        <w:rPr>
          <w:iCs/>
        </w:rPr>
      </w:pPr>
      <w:r>
        <w:rPr>
          <w:iCs/>
        </w:rPr>
        <w:t xml:space="preserve">Let </w:t>
      </w:r>
      <m:oMath>
        <m:r>
          <w:rPr>
            <w:rFonts w:ascii="Cambria Math" w:hAnsi="Cambria Math"/>
          </w:rPr>
          <m:t>X≥0</m:t>
        </m:r>
      </m:oMath>
      <w:r>
        <w:rPr>
          <w:iCs/>
        </w:rPr>
        <w:t xml:space="preserve"> be the rate back-off offset. </w:t>
      </w:r>
    </w:p>
    <w:p w14:paraId="1933C6BA" w14:textId="77777777" w:rsidR="00374018" w:rsidRPr="00BA5B69" w:rsidRDefault="00374018" w:rsidP="00374018">
      <w:pPr>
        <w:pStyle w:val="ListParagraph"/>
        <w:numPr>
          <w:ilvl w:val="0"/>
          <w:numId w:val="28"/>
        </w:numPr>
        <w:pBdr>
          <w:top w:val="single" w:sz="4" w:space="1" w:color="auto"/>
          <w:left w:val="single" w:sz="4" w:space="4" w:color="auto"/>
          <w:bottom w:val="single" w:sz="4" w:space="1" w:color="auto"/>
          <w:right w:val="single" w:sz="4" w:space="4" w:color="auto"/>
        </w:pBdr>
        <w:spacing w:line="360" w:lineRule="auto"/>
        <w:ind w:left="1080" w:right="1080"/>
        <w:jc w:val="both"/>
        <w:rPr>
          <w:iCs/>
        </w:rPr>
      </w:pPr>
      <m:oMath>
        <m:sSub>
          <m:sSubPr>
            <m:ctrlPr>
              <w:rPr>
                <w:rFonts w:ascii="Cambria Math" w:hAnsi="Cambria Math"/>
                <w:i/>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-X</m:t>
        </m:r>
      </m:oMath>
      <w:r>
        <w:t>.</w:t>
      </w:r>
    </w:p>
    <w:p w14:paraId="725B864A" w14:textId="77777777" w:rsidR="00374018" w:rsidRPr="005E5F32" w:rsidRDefault="00374018" w:rsidP="00374018">
      <w:pPr>
        <w:pStyle w:val="ListParagraph"/>
        <w:numPr>
          <w:ilvl w:val="0"/>
          <w:numId w:val="28"/>
        </w:numPr>
        <w:pBdr>
          <w:top w:val="single" w:sz="4" w:space="1" w:color="auto"/>
          <w:left w:val="single" w:sz="4" w:space="4" w:color="auto"/>
          <w:bottom w:val="single" w:sz="4" w:space="1" w:color="auto"/>
          <w:right w:val="single" w:sz="4" w:space="4" w:color="auto"/>
        </w:pBdr>
        <w:spacing w:line="360" w:lineRule="auto"/>
        <w:ind w:left="1080" w:right="1080"/>
      </w:pPr>
      <w:r w:rsidRPr="005E5F32">
        <w:t>BG2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 xml:space="preserve">=3840) </m:t>
        </m:r>
      </m:oMath>
      <w:r w:rsidRPr="005E5F32">
        <w:t xml:space="preserve">is chosen when </w:t>
      </w:r>
      <m:oMath>
        <m:r>
          <w:rPr>
            <w:rFonts w:ascii="Cambria Math" w:hAnsi="Cambria Math"/>
          </w:rPr>
          <m:t>(R≤0.25)</m:t>
        </m:r>
      </m:oMath>
      <w:r w:rsidRPr="005E5F32">
        <w:t xml:space="preserve"> or </w:t>
      </w:r>
      <m:oMath>
        <m:r>
          <w:rPr>
            <w:rFonts w:ascii="Cambria Math" w:hAnsi="Cambria Math"/>
          </w:rPr>
          <m:t>(R≤</m:t>
        </m:r>
        <m:r>
          <m:rPr>
            <m:sty m:val="p"/>
          </m:rPr>
          <w:rPr>
            <w:rFonts w:ascii="Cambria Math" w:hAnsi="Cambria Math"/>
          </w:rPr>
          <m:t>0.67 and</m:t>
        </m:r>
        <m:r>
          <w:rPr>
            <w:rFonts w:ascii="Cambria Math" w:hAnsi="Cambria Math"/>
          </w:rPr>
          <m:t>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Pr="005E5F32">
        <w:t xml:space="preserve"> or </w:t>
      </w:r>
      <m:oMath>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≤288)</m:t>
        </m:r>
      </m:oMath>
      <w:r w:rsidRPr="005E5F32">
        <w:rPr>
          <w:iCs/>
        </w:rPr>
        <w:t xml:space="preserve">; otherwise, BG1 </w:t>
      </w:r>
      <m:oMath>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=8448)</m:t>
        </m:r>
      </m:oMath>
      <w:r w:rsidRPr="005E5F32">
        <w:rPr>
          <w:iCs/>
        </w:rPr>
        <w:t xml:space="preserve"> is chosen.</w:t>
      </w:r>
    </w:p>
    <w:p w14:paraId="3C3BB1FB" w14:textId="77777777" w:rsidR="00374018" w:rsidRPr="005E5F32" w:rsidRDefault="00374018" w:rsidP="00374018">
      <w:pPr>
        <w:pStyle w:val="ListParagraph"/>
        <w:numPr>
          <w:ilvl w:val="0"/>
          <w:numId w:val="28"/>
        </w:numPr>
        <w:pBdr>
          <w:top w:val="single" w:sz="4" w:space="1" w:color="auto"/>
          <w:left w:val="single" w:sz="4" w:space="4" w:color="auto"/>
          <w:bottom w:val="single" w:sz="4" w:space="1" w:color="auto"/>
          <w:right w:val="single" w:sz="4" w:space="4" w:color="auto"/>
        </w:pBdr>
        <w:spacing w:line="360" w:lineRule="auto"/>
        <w:ind w:left="1080" w:right="1080"/>
      </w:pP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=16</m:t>
        </m:r>
      </m:oMath>
      <w:r w:rsidRPr="005E5F32">
        <w:t xml:space="preserve"> if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Pr="005E5F32">
        <w:t xml:space="preserve">; otherwise,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5E5F32">
        <w:t>.</w:t>
      </w:r>
    </w:p>
    <w:p w14:paraId="5927AFA4" w14:textId="77777777" w:rsidR="00374018" w:rsidRPr="005E5F32" w:rsidRDefault="00374018" w:rsidP="00374018">
      <w:pPr>
        <w:pStyle w:val="ListParagraph"/>
        <w:numPr>
          <w:ilvl w:val="0"/>
          <w:numId w:val="28"/>
        </w:numPr>
        <w:pBdr>
          <w:top w:val="single" w:sz="4" w:space="1" w:color="auto"/>
          <w:left w:val="single" w:sz="4" w:space="4" w:color="auto"/>
          <w:bottom w:val="single" w:sz="4" w:space="1" w:color="auto"/>
          <w:right w:val="single" w:sz="4" w:space="4" w:color="auto"/>
        </w:pBdr>
        <w:spacing w:line="360" w:lineRule="auto"/>
        <w:ind w:left="1080" w:right="1080"/>
      </w:pPr>
      <w:r w:rsidRPr="005E5F32">
        <w:t>No segmentation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=0</m:t>
        </m:r>
      </m:oMath>
      <w:r w:rsidRPr="005E5F32">
        <w:t xml:space="preserve">) when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cb</m:t>
            </m:r>
          </m:sub>
        </m:sSub>
      </m:oMath>
      <w:r w:rsidRPr="005E5F32">
        <w:rPr>
          <w:iCs/>
        </w:rPr>
        <w:t>; otherwise, the TB is segmented into more than one CB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5E5F32">
        <w:t>.</w:t>
      </w:r>
    </w:p>
    <w:p w14:paraId="628A0F07" w14:textId="77777777" w:rsidR="00374018" w:rsidRPr="005E5F32" w:rsidRDefault="00374018" w:rsidP="00374018">
      <w:pPr>
        <w:pStyle w:val="ListParagraph"/>
        <w:numPr>
          <w:ilvl w:val="0"/>
          <w:numId w:val="28"/>
        </w:numPr>
        <w:pBdr>
          <w:top w:val="single" w:sz="4" w:space="1" w:color="auto"/>
          <w:left w:val="single" w:sz="4" w:space="4" w:color="auto"/>
          <w:bottom w:val="single" w:sz="4" w:space="1" w:color="auto"/>
          <w:right w:val="single" w:sz="4" w:space="4" w:color="auto"/>
        </w:pBdr>
        <w:spacing w:line="360" w:lineRule="auto"/>
        <w:ind w:left="1080" w:right="1080"/>
      </w:pPr>
      <m:oMath>
        <m:r>
          <w:rPr>
            <w:rFonts w:ascii="Cambria Math" w:hAnsi="Cambria Math"/>
          </w:rPr>
          <m:t>TBS= 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Pr="005E5F32">
        <w:t>.</w:t>
      </w:r>
    </w:p>
    <w:p w14:paraId="5F0490DF" w14:textId="2FEB79F0" w:rsidR="00E45AE8" w:rsidRDefault="00E45AE8" w:rsidP="00FF69D6">
      <w:pPr>
        <w:rPr>
          <w:lang w:val="en-GB"/>
        </w:rPr>
      </w:pPr>
    </w:p>
    <w:p w14:paraId="090D3F6F" w14:textId="77777777" w:rsidR="004A2940" w:rsidRDefault="004A2940" w:rsidP="004A2940">
      <w:pPr>
        <w:rPr>
          <w:lang w:val="en-GB"/>
        </w:rPr>
      </w:pPr>
      <w:r w:rsidRPr="0039609D">
        <w:rPr>
          <w:b/>
          <w:u w:val="single"/>
          <w:lang w:val="en-GB"/>
        </w:rPr>
        <w:t>Proposal 2:</w:t>
      </w:r>
      <w:r>
        <w:rPr>
          <w:lang w:val="en-GB"/>
        </w:rPr>
        <w:t xml:space="preserve"> Use a rate back-off offset </w:t>
      </w:r>
      <m:oMath>
        <m:r>
          <w:rPr>
            <w:rFonts w:ascii="Cambria Math" w:hAnsi="Cambria Math"/>
            <w:lang w:val="en-GB"/>
          </w:rPr>
          <m:t>X=24</m:t>
        </m:r>
      </m:oMath>
      <w:r>
        <w:rPr>
          <w:lang w:val="en-GB"/>
        </w:rPr>
        <w:t>.</w:t>
      </w:r>
    </w:p>
    <w:p w14:paraId="57A980BD" w14:textId="77777777" w:rsidR="004A2940" w:rsidRDefault="004A2940" w:rsidP="004A2940">
      <w:pPr>
        <w:rPr>
          <w:lang w:val="en-GB"/>
        </w:rPr>
      </w:pPr>
      <w:r w:rsidRPr="004A2940">
        <w:rPr>
          <w:b/>
          <w:u w:val="single"/>
          <w:lang w:val="en-GB"/>
        </w:rPr>
        <w:t>Proposal 3:</w:t>
      </w:r>
      <w:r>
        <w:rPr>
          <w:lang w:val="en-GB"/>
        </w:rPr>
        <w:t xml:space="preserve"> The base-graph is implicitly determined from MCS, resource allocation, and number of layers.</w:t>
      </w:r>
    </w:p>
    <w:p w14:paraId="77B1B205" w14:textId="5E6C3A2E" w:rsidR="004A2940" w:rsidRDefault="004A2940" w:rsidP="00FF69D6">
      <w:pPr>
        <w:rPr>
          <w:lang w:val="en-GB"/>
        </w:rPr>
      </w:pPr>
      <w:r w:rsidRPr="004A2940">
        <w:rPr>
          <w:b/>
          <w:u w:val="single"/>
          <w:lang w:val="en-GB"/>
        </w:rPr>
        <w:t>Proposal 4:</w:t>
      </w:r>
      <w:r>
        <w:rPr>
          <w:lang w:val="en-GB"/>
        </w:rPr>
        <w:t xml:space="preserve"> The UE is not required to decode if the base-graph determination procedure indicates a change in base-graph during retransmission.</w:t>
      </w:r>
    </w:p>
    <w:p w14:paraId="43B7F896" w14:textId="77777777" w:rsidR="00E523F3" w:rsidRPr="000A64D8" w:rsidRDefault="00E523F3" w:rsidP="00E523F3">
      <w:pPr>
        <w:pStyle w:val="Heading1"/>
        <w:rPr>
          <w:lang w:val="en-US"/>
        </w:rPr>
      </w:pPr>
      <w:r w:rsidRPr="000A64D8">
        <w:rPr>
          <w:lang w:val="en-US"/>
        </w:rPr>
        <w:t>References</w:t>
      </w:r>
    </w:p>
    <w:p w14:paraId="7AB715AC" w14:textId="77777777" w:rsidR="00E639DF" w:rsidRDefault="00E639DF" w:rsidP="00E639DF">
      <w:pPr>
        <w:numPr>
          <w:ilvl w:val="0"/>
          <w:numId w:val="2"/>
        </w:numPr>
        <w:spacing w:before="100" w:beforeAutospacing="1" w:after="100" w:afterAutospacing="1"/>
        <w:ind w:left="562" w:hanging="562"/>
        <w:rPr>
          <w:szCs w:val="22"/>
        </w:rPr>
      </w:pPr>
      <w:bookmarkStart w:id="12" w:name="_Ref498612307"/>
      <w:bookmarkStart w:id="13" w:name="_Ref494736596"/>
      <w:r>
        <w:rPr>
          <w:szCs w:val="22"/>
        </w:rPr>
        <w:t>Chairman’s Notes, RAN1 Ad-Hoc 2, June 2017, Qingdao, P.R. China.</w:t>
      </w:r>
      <w:bookmarkEnd w:id="12"/>
    </w:p>
    <w:p w14:paraId="04CDB098" w14:textId="687A0B65" w:rsidR="00C4029D" w:rsidRDefault="009D68E2" w:rsidP="00172F5C">
      <w:pPr>
        <w:numPr>
          <w:ilvl w:val="0"/>
          <w:numId w:val="2"/>
        </w:numPr>
        <w:spacing w:before="100" w:beforeAutospacing="1" w:after="100" w:afterAutospacing="1"/>
        <w:ind w:left="562" w:hanging="562"/>
        <w:rPr>
          <w:szCs w:val="22"/>
        </w:rPr>
      </w:pPr>
      <w:bookmarkStart w:id="14" w:name="_Ref498612275"/>
      <w:r>
        <w:rPr>
          <w:szCs w:val="22"/>
        </w:rPr>
        <w:t>Chairman’s Notes, RAN1 88bis, April 2017, Spokane, USA.</w:t>
      </w:r>
      <w:bookmarkEnd w:id="13"/>
      <w:bookmarkEnd w:id="14"/>
    </w:p>
    <w:p w14:paraId="2D141B3A" w14:textId="49995666" w:rsidR="009D68E2" w:rsidRDefault="009D68E2" w:rsidP="00172F5C">
      <w:pPr>
        <w:numPr>
          <w:ilvl w:val="0"/>
          <w:numId w:val="2"/>
        </w:numPr>
        <w:spacing w:before="100" w:beforeAutospacing="1" w:after="100" w:afterAutospacing="1"/>
        <w:ind w:left="562" w:hanging="562"/>
        <w:rPr>
          <w:szCs w:val="22"/>
        </w:rPr>
      </w:pPr>
      <w:bookmarkStart w:id="15" w:name="_Ref498611339"/>
      <w:bookmarkStart w:id="16" w:name="_Ref498612202"/>
      <w:r>
        <w:rPr>
          <w:szCs w:val="22"/>
        </w:rPr>
        <w:t>Chairman’s Notes,</w:t>
      </w:r>
      <w:bookmarkEnd w:id="15"/>
      <w:r>
        <w:rPr>
          <w:szCs w:val="22"/>
        </w:rPr>
        <w:t xml:space="preserve"> </w:t>
      </w:r>
      <w:r w:rsidR="00E639DF">
        <w:rPr>
          <w:szCs w:val="22"/>
        </w:rPr>
        <w:t>RAN1 90, August 2017, Prague, Czech Republic.</w:t>
      </w:r>
      <w:bookmarkEnd w:id="16"/>
    </w:p>
    <w:p w14:paraId="1A945655" w14:textId="0BB24392" w:rsidR="00887D9D" w:rsidRDefault="00887D9D" w:rsidP="00172F5C">
      <w:pPr>
        <w:numPr>
          <w:ilvl w:val="0"/>
          <w:numId w:val="2"/>
        </w:numPr>
        <w:spacing w:before="100" w:beforeAutospacing="1" w:after="100" w:afterAutospacing="1"/>
        <w:ind w:left="562" w:hanging="562"/>
        <w:rPr>
          <w:szCs w:val="22"/>
        </w:rPr>
      </w:pPr>
      <w:bookmarkStart w:id="17" w:name="_Ref498612979"/>
      <w:r>
        <w:rPr>
          <w:szCs w:val="22"/>
        </w:rPr>
        <w:t>Chairman’s Notes, RAN1 90bis, October 2017, Prague, Czech Republic.</w:t>
      </w:r>
      <w:bookmarkEnd w:id="17"/>
    </w:p>
    <w:p w14:paraId="50D6F8C7" w14:textId="4C5A503B" w:rsidR="00546F00" w:rsidRPr="00BA5B69" w:rsidRDefault="00546F00" w:rsidP="00172F5C">
      <w:pPr>
        <w:numPr>
          <w:ilvl w:val="0"/>
          <w:numId w:val="2"/>
        </w:numPr>
        <w:spacing w:before="100" w:beforeAutospacing="1" w:after="100" w:afterAutospacing="1"/>
        <w:ind w:left="562" w:hanging="562"/>
        <w:rPr>
          <w:szCs w:val="22"/>
        </w:rPr>
      </w:pPr>
      <w:bookmarkStart w:id="18" w:name="_Ref498674446"/>
      <w:r w:rsidRPr="009B72E5">
        <w:t>R1-1720687</w:t>
      </w:r>
      <w:r>
        <w:t>, “DL/UL Resource Allocation,” Qualcomm Technologies Inc., RAN1-91, Reno</w:t>
      </w:r>
      <w:r w:rsidR="004444B7">
        <w:t>, USA.</w:t>
      </w:r>
      <w:bookmarkEnd w:id="18"/>
    </w:p>
    <w:p w14:paraId="3FC4C432" w14:textId="576CC29D" w:rsidR="00BA5B69" w:rsidRDefault="00BA5B69" w:rsidP="00172F5C">
      <w:pPr>
        <w:numPr>
          <w:ilvl w:val="0"/>
          <w:numId w:val="2"/>
        </w:numPr>
        <w:spacing w:before="100" w:beforeAutospacing="1" w:after="100" w:afterAutospacing="1"/>
        <w:ind w:left="562" w:hanging="562"/>
        <w:rPr>
          <w:szCs w:val="22"/>
        </w:rPr>
      </w:pPr>
      <w:bookmarkStart w:id="19" w:name="_Ref499578766"/>
      <w:r>
        <w:rPr>
          <w:szCs w:val="22"/>
        </w:rPr>
        <w:t>R1-1721447, “TBS Determination with LDPC Considerations,” Ericsson, RAN1-91, Reno, USA.</w:t>
      </w:r>
      <w:bookmarkEnd w:id="19"/>
    </w:p>
    <w:p w14:paraId="0272E824" w14:textId="7BB878AD" w:rsidR="004A7F6A" w:rsidRDefault="004A7F6A" w:rsidP="004A7F6A">
      <w:pPr>
        <w:numPr>
          <w:ilvl w:val="0"/>
          <w:numId w:val="2"/>
        </w:numPr>
        <w:spacing w:before="100" w:beforeAutospacing="1" w:after="100" w:afterAutospacing="1"/>
        <w:rPr>
          <w:szCs w:val="22"/>
        </w:rPr>
      </w:pPr>
      <w:bookmarkStart w:id="20" w:name="_Ref499619651"/>
      <w:r w:rsidRPr="004A7F6A">
        <w:rPr>
          <w:szCs w:val="22"/>
        </w:rPr>
        <w:t>R1-1720664</w:t>
      </w:r>
      <w:r>
        <w:rPr>
          <w:szCs w:val="22"/>
        </w:rPr>
        <w:t>, “</w:t>
      </w:r>
      <w:r w:rsidRPr="004A7F6A">
        <w:rPr>
          <w:szCs w:val="22"/>
        </w:rPr>
        <w:t>Remaining details on MCS</w:t>
      </w:r>
      <w:r>
        <w:rPr>
          <w:szCs w:val="22"/>
        </w:rPr>
        <w:t>,” Qualcomm Technologies Inc., RAN1-91, Reno, USA.</w:t>
      </w:r>
      <w:bookmarkEnd w:id="20"/>
    </w:p>
    <w:sectPr w:rsidR="004A7F6A"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AD4FE" w14:textId="77777777" w:rsidR="00B31AEB" w:rsidRDefault="00B31AEB">
      <w:r>
        <w:separator/>
      </w:r>
    </w:p>
  </w:endnote>
  <w:endnote w:type="continuationSeparator" w:id="0">
    <w:p w14:paraId="4ED5C89D" w14:textId="77777777" w:rsidR="00B31AEB" w:rsidRDefault="00B31AEB">
      <w:r>
        <w:continuationSeparator/>
      </w:r>
    </w:p>
  </w:endnote>
  <w:endnote w:type="continuationNotice" w:id="1">
    <w:p w14:paraId="4FFF0CDB" w14:textId="77777777" w:rsidR="00B31AEB" w:rsidRDefault="00B31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B31AEB" w:rsidRDefault="00B31A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31AEB" w:rsidRDefault="00B31AE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8DF0F92" w:rsidR="00B31AEB" w:rsidRDefault="00B31AE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7401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4018">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09978" w14:textId="77777777" w:rsidR="00B31AEB" w:rsidRDefault="00B31AEB">
      <w:r>
        <w:separator/>
      </w:r>
    </w:p>
  </w:footnote>
  <w:footnote w:type="continuationSeparator" w:id="0">
    <w:p w14:paraId="006F68F4" w14:textId="77777777" w:rsidR="00B31AEB" w:rsidRDefault="00B31AEB">
      <w:r>
        <w:continuationSeparator/>
      </w:r>
    </w:p>
  </w:footnote>
  <w:footnote w:type="continuationNotice" w:id="1">
    <w:p w14:paraId="7D1B97E0" w14:textId="77777777" w:rsidR="00B31AEB" w:rsidRDefault="00B31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B31AEB" w:rsidRDefault="00B31AE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cs="Times New Roman" w:hint="default"/>
      </w:rPr>
    </w:lvl>
    <w:lvl w:ilvl="1" w:tplc="7DF47B9C">
      <w:start w:val="1"/>
      <w:numFmt w:val="bullet"/>
      <w:lvlText w:val="–"/>
      <w:lvlJc w:val="left"/>
      <w:pPr>
        <w:tabs>
          <w:tab w:val="num" w:pos="1440"/>
        </w:tabs>
        <w:ind w:left="1440" w:hanging="360"/>
      </w:pPr>
      <w:rPr>
        <w:rFonts w:ascii="Arial" w:hAnsi="Arial" w:cs="Times New Roman" w:hint="default"/>
      </w:rPr>
    </w:lvl>
    <w:lvl w:ilvl="2" w:tplc="89947B1A">
      <w:start w:val="1"/>
      <w:numFmt w:val="bullet"/>
      <w:lvlText w:val="–"/>
      <w:lvlJc w:val="left"/>
      <w:pPr>
        <w:tabs>
          <w:tab w:val="num" w:pos="2160"/>
        </w:tabs>
        <w:ind w:left="2160" w:hanging="360"/>
      </w:pPr>
      <w:rPr>
        <w:rFonts w:ascii="Arial" w:hAnsi="Arial" w:cs="Times New Roman" w:hint="default"/>
      </w:rPr>
    </w:lvl>
    <w:lvl w:ilvl="3" w:tplc="1EE6CE3A">
      <w:start w:val="1"/>
      <w:numFmt w:val="bullet"/>
      <w:lvlText w:val="–"/>
      <w:lvlJc w:val="left"/>
      <w:pPr>
        <w:tabs>
          <w:tab w:val="num" w:pos="2880"/>
        </w:tabs>
        <w:ind w:left="2880" w:hanging="360"/>
      </w:pPr>
      <w:rPr>
        <w:rFonts w:ascii="Arial" w:hAnsi="Arial" w:cs="Times New Roman" w:hint="default"/>
      </w:rPr>
    </w:lvl>
    <w:lvl w:ilvl="4" w:tplc="416ADA20">
      <w:start w:val="1"/>
      <w:numFmt w:val="bullet"/>
      <w:lvlText w:val="–"/>
      <w:lvlJc w:val="left"/>
      <w:pPr>
        <w:tabs>
          <w:tab w:val="num" w:pos="3600"/>
        </w:tabs>
        <w:ind w:left="3600" w:hanging="360"/>
      </w:pPr>
      <w:rPr>
        <w:rFonts w:ascii="Arial" w:hAnsi="Arial" w:cs="Times New Roman" w:hint="default"/>
      </w:rPr>
    </w:lvl>
    <w:lvl w:ilvl="5" w:tplc="AFE6851E">
      <w:start w:val="1"/>
      <w:numFmt w:val="bullet"/>
      <w:lvlText w:val="–"/>
      <w:lvlJc w:val="left"/>
      <w:pPr>
        <w:tabs>
          <w:tab w:val="num" w:pos="4320"/>
        </w:tabs>
        <w:ind w:left="4320" w:hanging="360"/>
      </w:pPr>
      <w:rPr>
        <w:rFonts w:ascii="Arial" w:hAnsi="Arial" w:cs="Times New Roman" w:hint="default"/>
      </w:rPr>
    </w:lvl>
    <w:lvl w:ilvl="6" w:tplc="344CB172">
      <w:start w:val="1"/>
      <w:numFmt w:val="bullet"/>
      <w:lvlText w:val="–"/>
      <w:lvlJc w:val="left"/>
      <w:pPr>
        <w:tabs>
          <w:tab w:val="num" w:pos="5040"/>
        </w:tabs>
        <w:ind w:left="5040" w:hanging="360"/>
      </w:pPr>
      <w:rPr>
        <w:rFonts w:ascii="Arial" w:hAnsi="Arial" w:cs="Times New Roman" w:hint="default"/>
      </w:rPr>
    </w:lvl>
    <w:lvl w:ilvl="7" w:tplc="D7DCB42E">
      <w:start w:val="1"/>
      <w:numFmt w:val="bullet"/>
      <w:lvlText w:val="–"/>
      <w:lvlJc w:val="left"/>
      <w:pPr>
        <w:tabs>
          <w:tab w:val="num" w:pos="5760"/>
        </w:tabs>
        <w:ind w:left="5760" w:hanging="360"/>
      </w:pPr>
      <w:rPr>
        <w:rFonts w:ascii="Arial" w:hAnsi="Arial" w:cs="Times New Roman" w:hint="default"/>
      </w:rPr>
    </w:lvl>
    <w:lvl w:ilvl="8" w:tplc="DB6C566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00AD9"/>
    <w:multiLevelType w:val="hybridMultilevel"/>
    <w:tmpl w:val="88E06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cs="Times New Roman" w:hint="default"/>
      </w:rPr>
    </w:lvl>
    <w:lvl w:ilvl="1" w:tplc="4E740ABA">
      <w:numFmt w:val="bullet"/>
      <w:lvlText w:val="–"/>
      <w:lvlJc w:val="left"/>
      <w:pPr>
        <w:tabs>
          <w:tab w:val="num" w:pos="1080"/>
        </w:tabs>
        <w:ind w:left="1080" w:hanging="360"/>
      </w:pPr>
      <w:rPr>
        <w:rFonts w:ascii="Arial" w:hAnsi="Arial" w:cs="Times New Roman" w:hint="default"/>
      </w:rPr>
    </w:lvl>
    <w:lvl w:ilvl="2" w:tplc="DD9C4200">
      <w:start w:val="1"/>
      <w:numFmt w:val="bullet"/>
      <w:lvlText w:val="•"/>
      <w:lvlJc w:val="left"/>
      <w:pPr>
        <w:tabs>
          <w:tab w:val="num" w:pos="1800"/>
        </w:tabs>
        <w:ind w:left="1800" w:hanging="360"/>
      </w:pPr>
      <w:rPr>
        <w:rFonts w:ascii="Arial" w:hAnsi="Arial" w:cs="Times New Roman" w:hint="default"/>
      </w:rPr>
    </w:lvl>
    <w:lvl w:ilvl="3" w:tplc="84181230">
      <w:start w:val="1"/>
      <w:numFmt w:val="bullet"/>
      <w:lvlText w:val="•"/>
      <w:lvlJc w:val="left"/>
      <w:pPr>
        <w:tabs>
          <w:tab w:val="num" w:pos="2520"/>
        </w:tabs>
        <w:ind w:left="2520" w:hanging="360"/>
      </w:pPr>
      <w:rPr>
        <w:rFonts w:ascii="Arial" w:hAnsi="Arial" w:cs="Times New Roman" w:hint="default"/>
      </w:rPr>
    </w:lvl>
    <w:lvl w:ilvl="4" w:tplc="105C1530">
      <w:start w:val="1"/>
      <w:numFmt w:val="bullet"/>
      <w:lvlText w:val="•"/>
      <w:lvlJc w:val="left"/>
      <w:pPr>
        <w:tabs>
          <w:tab w:val="num" w:pos="3240"/>
        </w:tabs>
        <w:ind w:left="3240" w:hanging="360"/>
      </w:pPr>
      <w:rPr>
        <w:rFonts w:ascii="Arial" w:hAnsi="Arial" w:cs="Times New Roman" w:hint="default"/>
      </w:rPr>
    </w:lvl>
    <w:lvl w:ilvl="5" w:tplc="2E745C68">
      <w:start w:val="1"/>
      <w:numFmt w:val="bullet"/>
      <w:lvlText w:val="•"/>
      <w:lvlJc w:val="left"/>
      <w:pPr>
        <w:tabs>
          <w:tab w:val="num" w:pos="3960"/>
        </w:tabs>
        <w:ind w:left="3960" w:hanging="360"/>
      </w:pPr>
      <w:rPr>
        <w:rFonts w:ascii="Arial" w:hAnsi="Arial" w:cs="Times New Roman" w:hint="default"/>
      </w:rPr>
    </w:lvl>
    <w:lvl w:ilvl="6" w:tplc="9AC289E8">
      <w:start w:val="1"/>
      <w:numFmt w:val="bullet"/>
      <w:lvlText w:val="•"/>
      <w:lvlJc w:val="left"/>
      <w:pPr>
        <w:tabs>
          <w:tab w:val="num" w:pos="4680"/>
        </w:tabs>
        <w:ind w:left="4680" w:hanging="360"/>
      </w:pPr>
      <w:rPr>
        <w:rFonts w:ascii="Arial" w:hAnsi="Arial" w:cs="Times New Roman" w:hint="default"/>
      </w:rPr>
    </w:lvl>
    <w:lvl w:ilvl="7" w:tplc="EFD438DE">
      <w:start w:val="1"/>
      <w:numFmt w:val="bullet"/>
      <w:lvlText w:val="•"/>
      <w:lvlJc w:val="left"/>
      <w:pPr>
        <w:tabs>
          <w:tab w:val="num" w:pos="5400"/>
        </w:tabs>
        <w:ind w:left="5400" w:hanging="360"/>
      </w:pPr>
      <w:rPr>
        <w:rFonts w:ascii="Arial" w:hAnsi="Arial" w:cs="Times New Roman" w:hint="default"/>
      </w:rPr>
    </w:lvl>
    <w:lvl w:ilvl="8" w:tplc="246A382C">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229E4131"/>
    <w:multiLevelType w:val="hybridMultilevel"/>
    <w:tmpl w:val="82B4D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A14D1"/>
    <w:multiLevelType w:val="hybridMultilevel"/>
    <w:tmpl w:val="9A96F298"/>
    <w:lvl w:ilvl="0" w:tplc="39A4DA44">
      <w:start w:val="1"/>
      <w:numFmt w:val="bullet"/>
      <w:lvlText w:val=""/>
      <w:lvlJc w:val="left"/>
      <w:pPr>
        <w:tabs>
          <w:tab w:val="num" w:pos="720"/>
        </w:tabs>
        <w:ind w:left="720" w:hanging="360"/>
      </w:pPr>
      <w:rPr>
        <w:rFonts w:ascii="Symbol" w:hAnsi="Symbol" w:hint="default"/>
      </w:rPr>
    </w:lvl>
    <w:lvl w:ilvl="1" w:tplc="0B20231A">
      <w:numFmt w:val="bullet"/>
      <w:lvlText w:val="−"/>
      <w:lvlJc w:val="left"/>
      <w:pPr>
        <w:tabs>
          <w:tab w:val="num" w:pos="1440"/>
        </w:tabs>
        <w:ind w:left="1440" w:hanging="360"/>
      </w:pPr>
      <w:rPr>
        <w:rFonts w:ascii="Calibre Regular" w:hAnsi="Calibre Regular" w:hint="default"/>
      </w:rPr>
    </w:lvl>
    <w:lvl w:ilvl="2" w:tplc="E3CE197E">
      <w:numFmt w:val="bullet"/>
      <w:lvlText w:val="−"/>
      <w:lvlJc w:val="left"/>
      <w:pPr>
        <w:tabs>
          <w:tab w:val="num" w:pos="2160"/>
        </w:tabs>
        <w:ind w:left="2160" w:hanging="360"/>
      </w:pPr>
      <w:rPr>
        <w:rFonts w:ascii="Calibre Regular" w:hAnsi="Calibre Regular" w:hint="default"/>
      </w:rPr>
    </w:lvl>
    <w:lvl w:ilvl="3" w:tplc="462EADFE" w:tentative="1">
      <w:start w:val="1"/>
      <w:numFmt w:val="bullet"/>
      <w:lvlText w:val=""/>
      <w:lvlJc w:val="left"/>
      <w:pPr>
        <w:tabs>
          <w:tab w:val="num" w:pos="2880"/>
        </w:tabs>
        <w:ind w:left="2880" w:hanging="360"/>
      </w:pPr>
      <w:rPr>
        <w:rFonts w:ascii="Symbol" w:hAnsi="Symbol" w:hint="default"/>
      </w:rPr>
    </w:lvl>
    <w:lvl w:ilvl="4" w:tplc="9490CED8" w:tentative="1">
      <w:start w:val="1"/>
      <w:numFmt w:val="bullet"/>
      <w:lvlText w:val=""/>
      <w:lvlJc w:val="left"/>
      <w:pPr>
        <w:tabs>
          <w:tab w:val="num" w:pos="3600"/>
        </w:tabs>
        <w:ind w:left="3600" w:hanging="360"/>
      </w:pPr>
      <w:rPr>
        <w:rFonts w:ascii="Symbol" w:hAnsi="Symbol" w:hint="default"/>
      </w:rPr>
    </w:lvl>
    <w:lvl w:ilvl="5" w:tplc="C936920A" w:tentative="1">
      <w:start w:val="1"/>
      <w:numFmt w:val="bullet"/>
      <w:lvlText w:val=""/>
      <w:lvlJc w:val="left"/>
      <w:pPr>
        <w:tabs>
          <w:tab w:val="num" w:pos="4320"/>
        </w:tabs>
        <w:ind w:left="4320" w:hanging="360"/>
      </w:pPr>
      <w:rPr>
        <w:rFonts w:ascii="Symbol" w:hAnsi="Symbol" w:hint="default"/>
      </w:rPr>
    </w:lvl>
    <w:lvl w:ilvl="6" w:tplc="1E2E344E" w:tentative="1">
      <w:start w:val="1"/>
      <w:numFmt w:val="bullet"/>
      <w:lvlText w:val=""/>
      <w:lvlJc w:val="left"/>
      <w:pPr>
        <w:tabs>
          <w:tab w:val="num" w:pos="5040"/>
        </w:tabs>
        <w:ind w:left="5040" w:hanging="360"/>
      </w:pPr>
      <w:rPr>
        <w:rFonts w:ascii="Symbol" w:hAnsi="Symbol" w:hint="default"/>
      </w:rPr>
    </w:lvl>
    <w:lvl w:ilvl="7" w:tplc="E8E643B6" w:tentative="1">
      <w:start w:val="1"/>
      <w:numFmt w:val="bullet"/>
      <w:lvlText w:val=""/>
      <w:lvlJc w:val="left"/>
      <w:pPr>
        <w:tabs>
          <w:tab w:val="num" w:pos="5760"/>
        </w:tabs>
        <w:ind w:left="5760" w:hanging="360"/>
      </w:pPr>
      <w:rPr>
        <w:rFonts w:ascii="Symbol" w:hAnsi="Symbol" w:hint="default"/>
      </w:rPr>
    </w:lvl>
    <w:lvl w:ilvl="8" w:tplc="F5D45F1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236144"/>
    <w:multiLevelType w:val="hybridMultilevel"/>
    <w:tmpl w:val="5F64F82E"/>
    <w:lvl w:ilvl="0" w:tplc="95B015C0">
      <w:start w:val="1"/>
      <w:numFmt w:val="bullet"/>
      <w:lvlText w:val=""/>
      <w:lvlJc w:val="left"/>
      <w:pPr>
        <w:tabs>
          <w:tab w:val="num" w:pos="720"/>
        </w:tabs>
        <w:ind w:left="720" w:hanging="360"/>
      </w:pPr>
      <w:rPr>
        <w:rFonts w:ascii="Symbol" w:hAnsi="Symbol" w:hint="default"/>
      </w:rPr>
    </w:lvl>
    <w:lvl w:ilvl="1" w:tplc="CF84B5E8">
      <w:numFmt w:val="bullet"/>
      <w:lvlText w:val="−"/>
      <w:lvlJc w:val="left"/>
      <w:pPr>
        <w:tabs>
          <w:tab w:val="num" w:pos="1440"/>
        </w:tabs>
        <w:ind w:left="1440" w:hanging="360"/>
      </w:pPr>
      <w:rPr>
        <w:rFonts w:ascii="Calibre Regular" w:hAnsi="Calibre Regular" w:hint="default"/>
      </w:rPr>
    </w:lvl>
    <w:lvl w:ilvl="2" w:tplc="3B78C1C4">
      <w:numFmt w:val="bullet"/>
      <w:lvlText w:val="−"/>
      <w:lvlJc w:val="left"/>
      <w:pPr>
        <w:tabs>
          <w:tab w:val="num" w:pos="2160"/>
        </w:tabs>
        <w:ind w:left="2160" w:hanging="360"/>
      </w:pPr>
      <w:rPr>
        <w:rFonts w:ascii="Calibre Regular" w:hAnsi="Calibre Regular" w:hint="default"/>
      </w:rPr>
    </w:lvl>
    <w:lvl w:ilvl="3" w:tplc="02E8E720" w:tentative="1">
      <w:start w:val="1"/>
      <w:numFmt w:val="bullet"/>
      <w:lvlText w:val=""/>
      <w:lvlJc w:val="left"/>
      <w:pPr>
        <w:tabs>
          <w:tab w:val="num" w:pos="2880"/>
        </w:tabs>
        <w:ind w:left="2880" w:hanging="360"/>
      </w:pPr>
      <w:rPr>
        <w:rFonts w:ascii="Symbol" w:hAnsi="Symbol" w:hint="default"/>
      </w:rPr>
    </w:lvl>
    <w:lvl w:ilvl="4" w:tplc="39A6E1DE" w:tentative="1">
      <w:start w:val="1"/>
      <w:numFmt w:val="bullet"/>
      <w:lvlText w:val=""/>
      <w:lvlJc w:val="left"/>
      <w:pPr>
        <w:tabs>
          <w:tab w:val="num" w:pos="3600"/>
        </w:tabs>
        <w:ind w:left="3600" w:hanging="360"/>
      </w:pPr>
      <w:rPr>
        <w:rFonts w:ascii="Symbol" w:hAnsi="Symbol" w:hint="default"/>
      </w:rPr>
    </w:lvl>
    <w:lvl w:ilvl="5" w:tplc="A170DB96" w:tentative="1">
      <w:start w:val="1"/>
      <w:numFmt w:val="bullet"/>
      <w:lvlText w:val=""/>
      <w:lvlJc w:val="left"/>
      <w:pPr>
        <w:tabs>
          <w:tab w:val="num" w:pos="4320"/>
        </w:tabs>
        <w:ind w:left="4320" w:hanging="360"/>
      </w:pPr>
      <w:rPr>
        <w:rFonts w:ascii="Symbol" w:hAnsi="Symbol" w:hint="default"/>
      </w:rPr>
    </w:lvl>
    <w:lvl w:ilvl="6" w:tplc="918AC066" w:tentative="1">
      <w:start w:val="1"/>
      <w:numFmt w:val="bullet"/>
      <w:lvlText w:val=""/>
      <w:lvlJc w:val="left"/>
      <w:pPr>
        <w:tabs>
          <w:tab w:val="num" w:pos="5040"/>
        </w:tabs>
        <w:ind w:left="5040" w:hanging="360"/>
      </w:pPr>
      <w:rPr>
        <w:rFonts w:ascii="Symbol" w:hAnsi="Symbol" w:hint="default"/>
      </w:rPr>
    </w:lvl>
    <w:lvl w:ilvl="7" w:tplc="9C2CD51E" w:tentative="1">
      <w:start w:val="1"/>
      <w:numFmt w:val="bullet"/>
      <w:lvlText w:val=""/>
      <w:lvlJc w:val="left"/>
      <w:pPr>
        <w:tabs>
          <w:tab w:val="num" w:pos="5760"/>
        </w:tabs>
        <w:ind w:left="5760" w:hanging="360"/>
      </w:pPr>
      <w:rPr>
        <w:rFonts w:ascii="Symbol" w:hAnsi="Symbol" w:hint="default"/>
      </w:rPr>
    </w:lvl>
    <w:lvl w:ilvl="8" w:tplc="61EE5F5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E5241C"/>
    <w:multiLevelType w:val="hybridMultilevel"/>
    <w:tmpl w:val="00F8A7F6"/>
    <w:lvl w:ilvl="0" w:tplc="1376F8AE">
      <w:start w:val="1"/>
      <w:numFmt w:val="bullet"/>
      <w:lvlText w:val=""/>
      <w:lvlJc w:val="left"/>
      <w:pPr>
        <w:tabs>
          <w:tab w:val="num" w:pos="720"/>
        </w:tabs>
        <w:ind w:left="720" w:hanging="360"/>
      </w:pPr>
      <w:rPr>
        <w:rFonts w:ascii="Symbol" w:hAnsi="Symbol" w:hint="default"/>
      </w:rPr>
    </w:lvl>
    <w:lvl w:ilvl="1" w:tplc="D81EA55E" w:tentative="1">
      <w:start w:val="1"/>
      <w:numFmt w:val="bullet"/>
      <w:lvlText w:val=""/>
      <w:lvlJc w:val="left"/>
      <w:pPr>
        <w:tabs>
          <w:tab w:val="num" w:pos="1440"/>
        </w:tabs>
        <w:ind w:left="1440" w:hanging="360"/>
      </w:pPr>
      <w:rPr>
        <w:rFonts w:ascii="Symbol" w:hAnsi="Symbol" w:hint="default"/>
      </w:rPr>
    </w:lvl>
    <w:lvl w:ilvl="2" w:tplc="7C263062" w:tentative="1">
      <w:start w:val="1"/>
      <w:numFmt w:val="bullet"/>
      <w:lvlText w:val=""/>
      <w:lvlJc w:val="left"/>
      <w:pPr>
        <w:tabs>
          <w:tab w:val="num" w:pos="2160"/>
        </w:tabs>
        <w:ind w:left="2160" w:hanging="360"/>
      </w:pPr>
      <w:rPr>
        <w:rFonts w:ascii="Symbol" w:hAnsi="Symbol" w:hint="default"/>
      </w:rPr>
    </w:lvl>
    <w:lvl w:ilvl="3" w:tplc="9050F56E" w:tentative="1">
      <w:start w:val="1"/>
      <w:numFmt w:val="bullet"/>
      <w:lvlText w:val=""/>
      <w:lvlJc w:val="left"/>
      <w:pPr>
        <w:tabs>
          <w:tab w:val="num" w:pos="2880"/>
        </w:tabs>
        <w:ind w:left="2880" w:hanging="360"/>
      </w:pPr>
      <w:rPr>
        <w:rFonts w:ascii="Symbol" w:hAnsi="Symbol" w:hint="default"/>
      </w:rPr>
    </w:lvl>
    <w:lvl w:ilvl="4" w:tplc="42F06804" w:tentative="1">
      <w:start w:val="1"/>
      <w:numFmt w:val="bullet"/>
      <w:lvlText w:val=""/>
      <w:lvlJc w:val="left"/>
      <w:pPr>
        <w:tabs>
          <w:tab w:val="num" w:pos="3600"/>
        </w:tabs>
        <w:ind w:left="3600" w:hanging="360"/>
      </w:pPr>
      <w:rPr>
        <w:rFonts w:ascii="Symbol" w:hAnsi="Symbol" w:hint="default"/>
      </w:rPr>
    </w:lvl>
    <w:lvl w:ilvl="5" w:tplc="F5B486B2" w:tentative="1">
      <w:start w:val="1"/>
      <w:numFmt w:val="bullet"/>
      <w:lvlText w:val=""/>
      <w:lvlJc w:val="left"/>
      <w:pPr>
        <w:tabs>
          <w:tab w:val="num" w:pos="4320"/>
        </w:tabs>
        <w:ind w:left="4320" w:hanging="360"/>
      </w:pPr>
      <w:rPr>
        <w:rFonts w:ascii="Symbol" w:hAnsi="Symbol" w:hint="default"/>
      </w:rPr>
    </w:lvl>
    <w:lvl w:ilvl="6" w:tplc="D05C19A0" w:tentative="1">
      <w:start w:val="1"/>
      <w:numFmt w:val="bullet"/>
      <w:lvlText w:val=""/>
      <w:lvlJc w:val="left"/>
      <w:pPr>
        <w:tabs>
          <w:tab w:val="num" w:pos="5040"/>
        </w:tabs>
        <w:ind w:left="5040" w:hanging="360"/>
      </w:pPr>
      <w:rPr>
        <w:rFonts w:ascii="Symbol" w:hAnsi="Symbol" w:hint="default"/>
      </w:rPr>
    </w:lvl>
    <w:lvl w:ilvl="7" w:tplc="776AC20C" w:tentative="1">
      <w:start w:val="1"/>
      <w:numFmt w:val="bullet"/>
      <w:lvlText w:val=""/>
      <w:lvlJc w:val="left"/>
      <w:pPr>
        <w:tabs>
          <w:tab w:val="num" w:pos="5760"/>
        </w:tabs>
        <w:ind w:left="5760" w:hanging="360"/>
      </w:pPr>
      <w:rPr>
        <w:rFonts w:ascii="Symbol" w:hAnsi="Symbol" w:hint="default"/>
      </w:rPr>
    </w:lvl>
    <w:lvl w:ilvl="8" w:tplc="BC7A474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50B0B56"/>
    <w:multiLevelType w:val="hybridMultilevel"/>
    <w:tmpl w:val="28386DE8"/>
    <w:lvl w:ilvl="0" w:tplc="0409000F">
      <w:start w:val="1"/>
      <w:numFmt w:val="decimal"/>
      <w:lvlText w:val="%1."/>
      <w:lvlJc w:val="left"/>
      <w:pPr>
        <w:ind w:left="770" w:hanging="360"/>
      </w:pPr>
      <w:rPr>
        <w:rFonts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528343CB"/>
    <w:multiLevelType w:val="hybridMultilevel"/>
    <w:tmpl w:val="EC086D3C"/>
    <w:lvl w:ilvl="0" w:tplc="0B94AFB6">
      <w:start w:val="1"/>
      <w:numFmt w:val="bullet"/>
      <w:lvlText w:val=""/>
      <w:lvlJc w:val="left"/>
      <w:pPr>
        <w:tabs>
          <w:tab w:val="num" w:pos="720"/>
        </w:tabs>
        <w:ind w:left="720" w:hanging="360"/>
      </w:pPr>
      <w:rPr>
        <w:rFonts w:ascii="Symbol" w:hAnsi="Symbol" w:hint="default"/>
      </w:rPr>
    </w:lvl>
    <w:lvl w:ilvl="1" w:tplc="46BE4B10" w:tentative="1">
      <w:start w:val="1"/>
      <w:numFmt w:val="bullet"/>
      <w:lvlText w:val=""/>
      <w:lvlJc w:val="left"/>
      <w:pPr>
        <w:tabs>
          <w:tab w:val="num" w:pos="1440"/>
        </w:tabs>
        <w:ind w:left="1440" w:hanging="360"/>
      </w:pPr>
      <w:rPr>
        <w:rFonts w:ascii="Symbol" w:hAnsi="Symbol" w:hint="default"/>
      </w:rPr>
    </w:lvl>
    <w:lvl w:ilvl="2" w:tplc="357E86BA" w:tentative="1">
      <w:start w:val="1"/>
      <w:numFmt w:val="bullet"/>
      <w:lvlText w:val=""/>
      <w:lvlJc w:val="left"/>
      <w:pPr>
        <w:tabs>
          <w:tab w:val="num" w:pos="2160"/>
        </w:tabs>
        <w:ind w:left="2160" w:hanging="360"/>
      </w:pPr>
      <w:rPr>
        <w:rFonts w:ascii="Symbol" w:hAnsi="Symbol" w:hint="default"/>
      </w:rPr>
    </w:lvl>
    <w:lvl w:ilvl="3" w:tplc="2E6EB274" w:tentative="1">
      <w:start w:val="1"/>
      <w:numFmt w:val="bullet"/>
      <w:lvlText w:val=""/>
      <w:lvlJc w:val="left"/>
      <w:pPr>
        <w:tabs>
          <w:tab w:val="num" w:pos="2880"/>
        </w:tabs>
        <w:ind w:left="2880" w:hanging="360"/>
      </w:pPr>
      <w:rPr>
        <w:rFonts w:ascii="Symbol" w:hAnsi="Symbol" w:hint="default"/>
      </w:rPr>
    </w:lvl>
    <w:lvl w:ilvl="4" w:tplc="8C24E26C" w:tentative="1">
      <w:start w:val="1"/>
      <w:numFmt w:val="bullet"/>
      <w:lvlText w:val=""/>
      <w:lvlJc w:val="left"/>
      <w:pPr>
        <w:tabs>
          <w:tab w:val="num" w:pos="3600"/>
        </w:tabs>
        <w:ind w:left="3600" w:hanging="360"/>
      </w:pPr>
      <w:rPr>
        <w:rFonts w:ascii="Symbol" w:hAnsi="Symbol" w:hint="default"/>
      </w:rPr>
    </w:lvl>
    <w:lvl w:ilvl="5" w:tplc="F3384C54" w:tentative="1">
      <w:start w:val="1"/>
      <w:numFmt w:val="bullet"/>
      <w:lvlText w:val=""/>
      <w:lvlJc w:val="left"/>
      <w:pPr>
        <w:tabs>
          <w:tab w:val="num" w:pos="4320"/>
        </w:tabs>
        <w:ind w:left="4320" w:hanging="360"/>
      </w:pPr>
      <w:rPr>
        <w:rFonts w:ascii="Symbol" w:hAnsi="Symbol" w:hint="default"/>
      </w:rPr>
    </w:lvl>
    <w:lvl w:ilvl="6" w:tplc="A3B49B94" w:tentative="1">
      <w:start w:val="1"/>
      <w:numFmt w:val="bullet"/>
      <w:lvlText w:val=""/>
      <w:lvlJc w:val="left"/>
      <w:pPr>
        <w:tabs>
          <w:tab w:val="num" w:pos="5040"/>
        </w:tabs>
        <w:ind w:left="5040" w:hanging="360"/>
      </w:pPr>
      <w:rPr>
        <w:rFonts w:ascii="Symbol" w:hAnsi="Symbol" w:hint="default"/>
      </w:rPr>
    </w:lvl>
    <w:lvl w:ilvl="7" w:tplc="FCF86D48" w:tentative="1">
      <w:start w:val="1"/>
      <w:numFmt w:val="bullet"/>
      <w:lvlText w:val=""/>
      <w:lvlJc w:val="left"/>
      <w:pPr>
        <w:tabs>
          <w:tab w:val="num" w:pos="5760"/>
        </w:tabs>
        <w:ind w:left="5760" w:hanging="360"/>
      </w:pPr>
      <w:rPr>
        <w:rFonts w:ascii="Symbol" w:hAnsi="Symbol" w:hint="default"/>
      </w:rPr>
    </w:lvl>
    <w:lvl w:ilvl="8" w:tplc="CA9C6C6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A466B93"/>
    <w:multiLevelType w:val="hybridMultilevel"/>
    <w:tmpl w:val="F1586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715DA"/>
    <w:multiLevelType w:val="hybridMultilevel"/>
    <w:tmpl w:val="1932FFFC"/>
    <w:lvl w:ilvl="0" w:tplc="12C438F8">
      <w:start w:val="1"/>
      <w:numFmt w:val="bullet"/>
      <w:lvlText w:val=""/>
      <w:lvlJc w:val="left"/>
      <w:pPr>
        <w:tabs>
          <w:tab w:val="num" w:pos="720"/>
        </w:tabs>
        <w:ind w:left="720" w:hanging="360"/>
      </w:pPr>
      <w:rPr>
        <w:rFonts w:ascii="Symbol" w:hAnsi="Symbol" w:hint="default"/>
      </w:rPr>
    </w:lvl>
    <w:lvl w:ilvl="1" w:tplc="E53E346A">
      <w:numFmt w:val="bullet"/>
      <w:lvlText w:val="−"/>
      <w:lvlJc w:val="left"/>
      <w:pPr>
        <w:tabs>
          <w:tab w:val="num" w:pos="1440"/>
        </w:tabs>
        <w:ind w:left="1440" w:hanging="360"/>
      </w:pPr>
      <w:rPr>
        <w:rFonts w:ascii="Calibre Regular" w:hAnsi="Calibre Regular" w:hint="default"/>
      </w:rPr>
    </w:lvl>
    <w:lvl w:ilvl="2" w:tplc="0C7896CE" w:tentative="1">
      <w:start w:val="1"/>
      <w:numFmt w:val="bullet"/>
      <w:lvlText w:val=""/>
      <w:lvlJc w:val="left"/>
      <w:pPr>
        <w:tabs>
          <w:tab w:val="num" w:pos="2160"/>
        </w:tabs>
        <w:ind w:left="2160" w:hanging="360"/>
      </w:pPr>
      <w:rPr>
        <w:rFonts w:ascii="Symbol" w:hAnsi="Symbol" w:hint="default"/>
      </w:rPr>
    </w:lvl>
    <w:lvl w:ilvl="3" w:tplc="D7020CC2" w:tentative="1">
      <w:start w:val="1"/>
      <w:numFmt w:val="bullet"/>
      <w:lvlText w:val=""/>
      <w:lvlJc w:val="left"/>
      <w:pPr>
        <w:tabs>
          <w:tab w:val="num" w:pos="2880"/>
        </w:tabs>
        <w:ind w:left="2880" w:hanging="360"/>
      </w:pPr>
      <w:rPr>
        <w:rFonts w:ascii="Symbol" w:hAnsi="Symbol" w:hint="default"/>
      </w:rPr>
    </w:lvl>
    <w:lvl w:ilvl="4" w:tplc="CC7C2EBC" w:tentative="1">
      <w:start w:val="1"/>
      <w:numFmt w:val="bullet"/>
      <w:lvlText w:val=""/>
      <w:lvlJc w:val="left"/>
      <w:pPr>
        <w:tabs>
          <w:tab w:val="num" w:pos="3600"/>
        </w:tabs>
        <w:ind w:left="3600" w:hanging="360"/>
      </w:pPr>
      <w:rPr>
        <w:rFonts w:ascii="Symbol" w:hAnsi="Symbol" w:hint="default"/>
      </w:rPr>
    </w:lvl>
    <w:lvl w:ilvl="5" w:tplc="6E32D198" w:tentative="1">
      <w:start w:val="1"/>
      <w:numFmt w:val="bullet"/>
      <w:lvlText w:val=""/>
      <w:lvlJc w:val="left"/>
      <w:pPr>
        <w:tabs>
          <w:tab w:val="num" w:pos="4320"/>
        </w:tabs>
        <w:ind w:left="4320" w:hanging="360"/>
      </w:pPr>
      <w:rPr>
        <w:rFonts w:ascii="Symbol" w:hAnsi="Symbol" w:hint="default"/>
      </w:rPr>
    </w:lvl>
    <w:lvl w:ilvl="6" w:tplc="3E84CBA8" w:tentative="1">
      <w:start w:val="1"/>
      <w:numFmt w:val="bullet"/>
      <w:lvlText w:val=""/>
      <w:lvlJc w:val="left"/>
      <w:pPr>
        <w:tabs>
          <w:tab w:val="num" w:pos="5040"/>
        </w:tabs>
        <w:ind w:left="5040" w:hanging="360"/>
      </w:pPr>
      <w:rPr>
        <w:rFonts w:ascii="Symbol" w:hAnsi="Symbol" w:hint="default"/>
      </w:rPr>
    </w:lvl>
    <w:lvl w:ilvl="7" w:tplc="6B0E6F6C" w:tentative="1">
      <w:start w:val="1"/>
      <w:numFmt w:val="bullet"/>
      <w:lvlText w:val=""/>
      <w:lvlJc w:val="left"/>
      <w:pPr>
        <w:tabs>
          <w:tab w:val="num" w:pos="5760"/>
        </w:tabs>
        <w:ind w:left="5760" w:hanging="360"/>
      </w:pPr>
      <w:rPr>
        <w:rFonts w:ascii="Symbol" w:hAnsi="Symbol" w:hint="default"/>
      </w:rPr>
    </w:lvl>
    <w:lvl w:ilvl="8" w:tplc="DB3E673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C8B0D74"/>
    <w:multiLevelType w:val="hybridMultilevel"/>
    <w:tmpl w:val="8D0A5362"/>
    <w:lvl w:ilvl="0" w:tplc="5E44EF06">
      <w:start w:val="1"/>
      <w:numFmt w:val="bullet"/>
      <w:lvlText w:val=""/>
      <w:lvlJc w:val="left"/>
      <w:pPr>
        <w:tabs>
          <w:tab w:val="num" w:pos="720"/>
        </w:tabs>
        <w:ind w:left="720" w:hanging="360"/>
      </w:pPr>
      <w:rPr>
        <w:rFonts w:ascii="Symbol" w:hAnsi="Symbol" w:hint="default"/>
      </w:rPr>
    </w:lvl>
    <w:lvl w:ilvl="1" w:tplc="4686ED7E">
      <w:numFmt w:val="bullet"/>
      <w:lvlText w:val="−"/>
      <w:lvlJc w:val="left"/>
      <w:pPr>
        <w:tabs>
          <w:tab w:val="num" w:pos="1440"/>
        </w:tabs>
        <w:ind w:left="1440" w:hanging="360"/>
      </w:pPr>
      <w:rPr>
        <w:rFonts w:ascii="Calibre Regular" w:hAnsi="Calibre Regular" w:hint="default"/>
      </w:rPr>
    </w:lvl>
    <w:lvl w:ilvl="2" w:tplc="86341A9E" w:tentative="1">
      <w:start w:val="1"/>
      <w:numFmt w:val="bullet"/>
      <w:lvlText w:val=""/>
      <w:lvlJc w:val="left"/>
      <w:pPr>
        <w:tabs>
          <w:tab w:val="num" w:pos="2160"/>
        </w:tabs>
        <w:ind w:left="2160" w:hanging="360"/>
      </w:pPr>
      <w:rPr>
        <w:rFonts w:ascii="Symbol" w:hAnsi="Symbol" w:hint="default"/>
      </w:rPr>
    </w:lvl>
    <w:lvl w:ilvl="3" w:tplc="7B96A80E" w:tentative="1">
      <w:start w:val="1"/>
      <w:numFmt w:val="bullet"/>
      <w:lvlText w:val=""/>
      <w:lvlJc w:val="left"/>
      <w:pPr>
        <w:tabs>
          <w:tab w:val="num" w:pos="2880"/>
        </w:tabs>
        <w:ind w:left="2880" w:hanging="360"/>
      </w:pPr>
      <w:rPr>
        <w:rFonts w:ascii="Symbol" w:hAnsi="Symbol" w:hint="default"/>
      </w:rPr>
    </w:lvl>
    <w:lvl w:ilvl="4" w:tplc="9ABED9A0" w:tentative="1">
      <w:start w:val="1"/>
      <w:numFmt w:val="bullet"/>
      <w:lvlText w:val=""/>
      <w:lvlJc w:val="left"/>
      <w:pPr>
        <w:tabs>
          <w:tab w:val="num" w:pos="3600"/>
        </w:tabs>
        <w:ind w:left="3600" w:hanging="360"/>
      </w:pPr>
      <w:rPr>
        <w:rFonts w:ascii="Symbol" w:hAnsi="Symbol" w:hint="default"/>
      </w:rPr>
    </w:lvl>
    <w:lvl w:ilvl="5" w:tplc="7B025D2E" w:tentative="1">
      <w:start w:val="1"/>
      <w:numFmt w:val="bullet"/>
      <w:lvlText w:val=""/>
      <w:lvlJc w:val="left"/>
      <w:pPr>
        <w:tabs>
          <w:tab w:val="num" w:pos="4320"/>
        </w:tabs>
        <w:ind w:left="4320" w:hanging="360"/>
      </w:pPr>
      <w:rPr>
        <w:rFonts w:ascii="Symbol" w:hAnsi="Symbol" w:hint="default"/>
      </w:rPr>
    </w:lvl>
    <w:lvl w:ilvl="6" w:tplc="3CA2746E" w:tentative="1">
      <w:start w:val="1"/>
      <w:numFmt w:val="bullet"/>
      <w:lvlText w:val=""/>
      <w:lvlJc w:val="left"/>
      <w:pPr>
        <w:tabs>
          <w:tab w:val="num" w:pos="5040"/>
        </w:tabs>
        <w:ind w:left="5040" w:hanging="360"/>
      </w:pPr>
      <w:rPr>
        <w:rFonts w:ascii="Symbol" w:hAnsi="Symbol" w:hint="default"/>
      </w:rPr>
    </w:lvl>
    <w:lvl w:ilvl="7" w:tplc="1C924BCA" w:tentative="1">
      <w:start w:val="1"/>
      <w:numFmt w:val="bullet"/>
      <w:lvlText w:val=""/>
      <w:lvlJc w:val="left"/>
      <w:pPr>
        <w:tabs>
          <w:tab w:val="num" w:pos="5760"/>
        </w:tabs>
        <w:ind w:left="5760" w:hanging="360"/>
      </w:pPr>
      <w:rPr>
        <w:rFonts w:ascii="Symbol" w:hAnsi="Symbol" w:hint="default"/>
      </w:rPr>
    </w:lvl>
    <w:lvl w:ilvl="8" w:tplc="156E975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4FB3D8E"/>
    <w:multiLevelType w:val="hybridMultilevel"/>
    <w:tmpl w:val="5C3846CE"/>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656E7CF4"/>
    <w:multiLevelType w:val="hybridMultilevel"/>
    <w:tmpl w:val="5C3846CE"/>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657C0458"/>
    <w:multiLevelType w:val="hybridMultilevel"/>
    <w:tmpl w:val="AE3EEFFA"/>
    <w:lvl w:ilvl="0" w:tplc="141A7C26">
      <w:start w:val="1"/>
      <w:numFmt w:val="bullet"/>
      <w:lvlText w:val=""/>
      <w:lvlJc w:val="left"/>
      <w:pPr>
        <w:tabs>
          <w:tab w:val="num" w:pos="720"/>
        </w:tabs>
        <w:ind w:left="720" w:hanging="360"/>
      </w:pPr>
      <w:rPr>
        <w:rFonts w:ascii="Symbol" w:hAnsi="Symbol" w:hint="default"/>
      </w:rPr>
    </w:lvl>
    <w:lvl w:ilvl="1" w:tplc="2EB665B4">
      <w:numFmt w:val="bullet"/>
      <w:lvlText w:val="−"/>
      <w:lvlJc w:val="left"/>
      <w:pPr>
        <w:tabs>
          <w:tab w:val="num" w:pos="1440"/>
        </w:tabs>
        <w:ind w:left="1440" w:hanging="360"/>
      </w:pPr>
      <w:rPr>
        <w:rFonts w:ascii="Calibre Regular" w:hAnsi="Calibre Regular" w:hint="default"/>
      </w:rPr>
    </w:lvl>
    <w:lvl w:ilvl="2" w:tplc="1B04EA48" w:tentative="1">
      <w:start w:val="1"/>
      <w:numFmt w:val="bullet"/>
      <w:lvlText w:val=""/>
      <w:lvlJc w:val="left"/>
      <w:pPr>
        <w:tabs>
          <w:tab w:val="num" w:pos="2160"/>
        </w:tabs>
        <w:ind w:left="2160" w:hanging="360"/>
      </w:pPr>
      <w:rPr>
        <w:rFonts w:ascii="Symbol" w:hAnsi="Symbol" w:hint="default"/>
      </w:rPr>
    </w:lvl>
    <w:lvl w:ilvl="3" w:tplc="56E855FE" w:tentative="1">
      <w:start w:val="1"/>
      <w:numFmt w:val="bullet"/>
      <w:lvlText w:val=""/>
      <w:lvlJc w:val="left"/>
      <w:pPr>
        <w:tabs>
          <w:tab w:val="num" w:pos="2880"/>
        </w:tabs>
        <w:ind w:left="2880" w:hanging="360"/>
      </w:pPr>
      <w:rPr>
        <w:rFonts w:ascii="Symbol" w:hAnsi="Symbol" w:hint="default"/>
      </w:rPr>
    </w:lvl>
    <w:lvl w:ilvl="4" w:tplc="808E2A86" w:tentative="1">
      <w:start w:val="1"/>
      <w:numFmt w:val="bullet"/>
      <w:lvlText w:val=""/>
      <w:lvlJc w:val="left"/>
      <w:pPr>
        <w:tabs>
          <w:tab w:val="num" w:pos="3600"/>
        </w:tabs>
        <w:ind w:left="3600" w:hanging="360"/>
      </w:pPr>
      <w:rPr>
        <w:rFonts w:ascii="Symbol" w:hAnsi="Symbol" w:hint="default"/>
      </w:rPr>
    </w:lvl>
    <w:lvl w:ilvl="5" w:tplc="B292362E" w:tentative="1">
      <w:start w:val="1"/>
      <w:numFmt w:val="bullet"/>
      <w:lvlText w:val=""/>
      <w:lvlJc w:val="left"/>
      <w:pPr>
        <w:tabs>
          <w:tab w:val="num" w:pos="4320"/>
        </w:tabs>
        <w:ind w:left="4320" w:hanging="360"/>
      </w:pPr>
      <w:rPr>
        <w:rFonts w:ascii="Symbol" w:hAnsi="Symbol" w:hint="default"/>
      </w:rPr>
    </w:lvl>
    <w:lvl w:ilvl="6" w:tplc="C95A0C90" w:tentative="1">
      <w:start w:val="1"/>
      <w:numFmt w:val="bullet"/>
      <w:lvlText w:val=""/>
      <w:lvlJc w:val="left"/>
      <w:pPr>
        <w:tabs>
          <w:tab w:val="num" w:pos="5040"/>
        </w:tabs>
        <w:ind w:left="5040" w:hanging="360"/>
      </w:pPr>
      <w:rPr>
        <w:rFonts w:ascii="Symbol" w:hAnsi="Symbol" w:hint="default"/>
      </w:rPr>
    </w:lvl>
    <w:lvl w:ilvl="7" w:tplc="45041086" w:tentative="1">
      <w:start w:val="1"/>
      <w:numFmt w:val="bullet"/>
      <w:lvlText w:val=""/>
      <w:lvlJc w:val="left"/>
      <w:pPr>
        <w:tabs>
          <w:tab w:val="num" w:pos="5760"/>
        </w:tabs>
        <w:ind w:left="5760" w:hanging="360"/>
      </w:pPr>
      <w:rPr>
        <w:rFonts w:ascii="Symbol" w:hAnsi="Symbol" w:hint="default"/>
      </w:rPr>
    </w:lvl>
    <w:lvl w:ilvl="8" w:tplc="28FC8F9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347D99"/>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D9A4DBC"/>
    <w:multiLevelType w:val="hybridMultilevel"/>
    <w:tmpl w:val="F1586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1476A5"/>
    <w:multiLevelType w:val="hybridMultilevel"/>
    <w:tmpl w:val="F7DA18EC"/>
    <w:lvl w:ilvl="0" w:tplc="5F18A666">
      <w:start w:val="1"/>
      <w:numFmt w:val="bullet"/>
      <w:lvlText w:val=""/>
      <w:lvlJc w:val="left"/>
      <w:pPr>
        <w:tabs>
          <w:tab w:val="num" w:pos="720"/>
        </w:tabs>
        <w:ind w:left="720" w:hanging="360"/>
      </w:pPr>
      <w:rPr>
        <w:rFonts w:ascii="Symbol" w:hAnsi="Symbol" w:hint="default"/>
      </w:rPr>
    </w:lvl>
    <w:lvl w:ilvl="1" w:tplc="4A561218" w:tentative="1">
      <w:start w:val="1"/>
      <w:numFmt w:val="bullet"/>
      <w:lvlText w:val=""/>
      <w:lvlJc w:val="left"/>
      <w:pPr>
        <w:tabs>
          <w:tab w:val="num" w:pos="1440"/>
        </w:tabs>
        <w:ind w:left="1440" w:hanging="360"/>
      </w:pPr>
      <w:rPr>
        <w:rFonts w:ascii="Symbol" w:hAnsi="Symbol" w:hint="default"/>
      </w:rPr>
    </w:lvl>
    <w:lvl w:ilvl="2" w:tplc="90ACA380" w:tentative="1">
      <w:start w:val="1"/>
      <w:numFmt w:val="bullet"/>
      <w:lvlText w:val=""/>
      <w:lvlJc w:val="left"/>
      <w:pPr>
        <w:tabs>
          <w:tab w:val="num" w:pos="2160"/>
        </w:tabs>
        <w:ind w:left="2160" w:hanging="360"/>
      </w:pPr>
      <w:rPr>
        <w:rFonts w:ascii="Symbol" w:hAnsi="Symbol" w:hint="default"/>
      </w:rPr>
    </w:lvl>
    <w:lvl w:ilvl="3" w:tplc="0FFCB35C" w:tentative="1">
      <w:start w:val="1"/>
      <w:numFmt w:val="bullet"/>
      <w:lvlText w:val=""/>
      <w:lvlJc w:val="left"/>
      <w:pPr>
        <w:tabs>
          <w:tab w:val="num" w:pos="2880"/>
        </w:tabs>
        <w:ind w:left="2880" w:hanging="360"/>
      </w:pPr>
      <w:rPr>
        <w:rFonts w:ascii="Symbol" w:hAnsi="Symbol" w:hint="default"/>
      </w:rPr>
    </w:lvl>
    <w:lvl w:ilvl="4" w:tplc="82CA1238" w:tentative="1">
      <w:start w:val="1"/>
      <w:numFmt w:val="bullet"/>
      <w:lvlText w:val=""/>
      <w:lvlJc w:val="left"/>
      <w:pPr>
        <w:tabs>
          <w:tab w:val="num" w:pos="3600"/>
        </w:tabs>
        <w:ind w:left="3600" w:hanging="360"/>
      </w:pPr>
      <w:rPr>
        <w:rFonts w:ascii="Symbol" w:hAnsi="Symbol" w:hint="default"/>
      </w:rPr>
    </w:lvl>
    <w:lvl w:ilvl="5" w:tplc="3EEE92E0" w:tentative="1">
      <w:start w:val="1"/>
      <w:numFmt w:val="bullet"/>
      <w:lvlText w:val=""/>
      <w:lvlJc w:val="left"/>
      <w:pPr>
        <w:tabs>
          <w:tab w:val="num" w:pos="4320"/>
        </w:tabs>
        <w:ind w:left="4320" w:hanging="360"/>
      </w:pPr>
      <w:rPr>
        <w:rFonts w:ascii="Symbol" w:hAnsi="Symbol" w:hint="default"/>
      </w:rPr>
    </w:lvl>
    <w:lvl w:ilvl="6" w:tplc="0A64F034" w:tentative="1">
      <w:start w:val="1"/>
      <w:numFmt w:val="bullet"/>
      <w:lvlText w:val=""/>
      <w:lvlJc w:val="left"/>
      <w:pPr>
        <w:tabs>
          <w:tab w:val="num" w:pos="5040"/>
        </w:tabs>
        <w:ind w:left="5040" w:hanging="360"/>
      </w:pPr>
      <w:rPr>
        <w:rFonts w:ascii="Symbol" w:hAnsi="Symbol" w:hint="default"/>
      </w:rPr>
    </w:lvl>
    <w:lvl w:ilvl="7" w:tplc="864E0040" w:tentative="1">
      <w:start w:val="1"/>
      <w:numFmt w:val="bullet"/>
      <w:lvlText w:val=""/>
      <w:lvlJc w:val="left"/>
      <w:pPr>
        <w:tabs>
          <w:tab w:val="num" w:pos="5760"/>
        </w:tabs>
        <w:ind w:left="5760" w:hanging="360"/>
      </w:pPr>
      <w:rPr>
        <w:rFonts w:ascii="Symbol" w:hAnsi="Symbol" w:hint="default"/>
      </w:rPr>
    </w:lvl>
    <w:lvl w:ilvl="8" w:tplc="D2A4610A"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0"/>
  </w:num>
  <w:num w:numId="3">
    <w:abstractNumId w:val="3"/>
  </w:num>
  <w:num w:numId="4">
    <w:abstractNumId w:val="12"/>
  </w:num>
  <w:num w:numId="5">
    <w:abstractNumId w:val="13"/>
  </w:num>
  <w:num w:numId="6">
    <w:abstractNumId w:val="14"/>
  </w:num>
  <w:num w:numId="7">
    <w:abstractNumId w:val="7"/>
  </w:num>
  <w:num w:numId="8">
    <w:abstractNumId w:val="6"/>
  </w:num>
  <w:num w:numId="9">
    <w:abstractNumId w:val="5"/>
  </w:num>
  <w:num w:numId="10">
    <w:abstractNumId w:val="24"/>
  </w:num>
  <w:num w:numId="11">
    <w:abstractNumId w:val="19"/>
  </w:num>
  <w:num w:numId="12">
    <w:abstractNumId w:val="9"/>
  </w:num>
  <w:num w:numId="13">
    <w:abstractNumId w:val="10"/>
  </w:num>
  <w:num w:numId="14">
    <w:abstractNumId w:val="23"/>
  </w:num>
  <w:num w:numId="15">
    <w:abstractNumId w:val="17"/>
  </w:num>
  <w:num w:numId="16">
    <w:abstractNumId w:val="27"/>
  </w:num>
  <w:num w:numId="17">
    <w:abstractNumId w:val="15"/>
  </w:num>
  <w:num w:numId="18">
    <w:abstractNumId w:val="20"/>
  </w:num>
  <w:num w:numId="19">
    <w:abstractNumId w:val="16"/>
  </w:num>
  <w:num w:numId="20">
    <w:abstractNumId w:val="4"/>
  </w:num>
  <w:num w:numId="21">
    <w:abstractNumId w:val="1"/>
  </w:num>
  <w:num w:numId="22">
    <w:abstractNumId w:val="2"/>
  </w:num>
  <w:num w:numId="23">
    <w:abstractNumId w:val="25"/>
  </w:num>
  <w:num w:numId="24">
    <w:abstractNumId w:val="26"/>
  </w:num>
  <w:num w:numId="25">
    <w:abstractNumId w:val="18"/>
  </w:num>
  <w:num w:numId="26">
    <w:abstractNumId w:val="8"/>
  </w:num>
  <w:num w:numId="27">
    <w:abstractNumId w:val="21"/>
  </w:num>
  <w:num w:numId="2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D8"/>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85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1FCE"/>
    <w:rsid w:val="000321DC"/>
    <w:rsid w:val="000325EF"/>
    <w:rsid w:val="00032A0C"/>
    <w:rsid w:val="00034882"/>
    <w:rsid w:val="000349B7"/>
    <w:rsid w:val="0003540B"/>
    <w:rsid w:val="00035574"/>
    <w:rsid w:val="00036199"/>
    <w:rsid w:val="0003637F"/>
    <w:rsid w:val="000365A2"/>
    <w:rsid w:val="0003698E"/>
    <w:rsid w:val="00036C45"/>
    <w:rsid w:val="00036FA7"/>
    <w:rsid w:val="000370B4"/>
    <w:rsid w:val="0003723F"/>
    <w:rsid w:val="0003777B"/>
    <w:rsid w:val="000377E3"/>
    <w:rsid w:val="00037A21"/>
    <w:rsid w:val="00037C2D"/>
    <w:rsid w:val="00037CBA"/>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B93"/>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76E"/>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803"/>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42B"/>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0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B48"/>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D1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AE"/>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E1C"/>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5E1B"/>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31"/>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4E5D"/>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182"/>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5D9"/>
    <w:rsid w:val="0021065B"/>
    <w:rsid w:val="002109D5"/>
    <w:rsid w:val="00210A2E"/>
    <w:rsid w:val="00210B05"/>
    <w:rsid w:val="00210C84"/>
    <w:rsid w:val="00210C91"/>
    <w:rsid w:val="00210F42"/>
    <w:rsid w:val="00211042"/>
    <w:rsid w:val="00211345"/>
    <w:rsid w:val="002114FA"/>
    <w:rsid w:val="002118E5"/>
    <w:rsid w:val="00211AE7"/>
    <w:rsid w:val="00211D31"/>
    <w:rsid w:val="00211DD9"/>
    <w:rsid w:val="0021273E"/>
    <w:rsid w:val="00212816"/>
    <w:rsid w:val="00212B03"/>
    <w:rsid w:val="002130BD"/>
    <w:rsid w:val="00213851"/>
    <w:rsid w:val="00214E0D"/>
    <w:rsid w:val="0021512E"/>
    <w:rsid w:val="00215680"/>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8DA"/>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4CA"/>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366"/>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173"/>
    <w:rsid w:val="00287376"/>
    <w:rsid w:val="002877DE"/>
    <w:rsid w:val="00287821"/>
    <w:rsid w:val="00287C28"/>
    <w:rsid w:val="00287C39"/>
    <w:rsid w:val="00290254"/>
    <w:rsid w:val="00290C83"/>
    <w:rsid w:val="002910D7"/>
    <w:rsid w:val="0029130D"/>
    <w:rsid w:val="0029142E"/>
    <w:rsid w:val="002915DA"/>
    <w:rsid w:val="002915F6"/>
    <w:rsid w:val="0029178F"/>
    <w:rsid w:val="00291C45"/>
    <w:rsid w:val="00292540"/>
    <w:rsid w:val="0029279E"/>
    <w:rsid w:val="00293504"/>
    <w:rsid w:val="00293C49"/>
    <w:rsid w:val="00294266"/>
    <w:rsid w:val="002944CA"/>
    <w:rsid w:val="00294504"/>
    <w:rsid w:val="00294722"/>
    <w:rsid w:val="00294AB1"/>
    <w:rsid w:val="00294C8C"/>
    <w:rsid w:val="00294E8E"/>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161"/>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8"/>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72C"/>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5DA"/>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18"/>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172"/>
    <w:rsid w:val="00383781"/>
    <w:rsid w:val="00383D4B"/>
    <w:rsid w:val="00383DDB"/>
    <w:rsid w:val="003842A8"/>
    <w:rsid w:val="00384747"/>
    <w:rsid w:val="003848D9"/>
    <w:rsid w:val="00384BC0"/>
    <w:rsid w:val="0038508F"/>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3F5B"/>
    <w:rsid w:val="003946B1"/>
    <w:rsid w:val="00394775"/>
    <w:rsid w:val="00394948"/>
    <w:rsid w:val="00394B44"/>
    <w:rsid w:val="00394D6C"/>
    <w:rsid w:val="0039502C"/>
    <w:rsid w:val="0039511F"/>
    <w:rsid w:val="003956FE"/>
    <w:rsid w:val="003958F1"/>
    <w:rsid w:val="0039598F"/>
    <w:rsid w:val="0039609D"/>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0AA1"/>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1BF"/>
    <w:rsid w:val="003D22AC"/>
    <w:rsid w:val="003D2339"/>
    <w:rsid w:val="003D26AA"/>
    <w:rsid w:val="003D2E43"/>
    <w:rsid w:val="003D3AD8"/>
    <w:rsid w:val="003D3EE3"/>
    <w:rsid w:val="003D4350"/>
    <w:rsid w:val="003D4409"/>
    <w:rsid w:val="003D49DD"/>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5BD7"/>
    <w:rsid w:val="003E6233"/>
    <w:rsid w:val="003E6289"/>
    <w:rsid w:val="003E6592"/>
    <w:rsid w:val="003E679D"/>
    <w:rsid w:val="003E6A3C"/>
    <w:rsid w:val="003E700A"/>
    <w:rsid w:val="003E7313"/>
    <w:rsid w:val="003E73BC"/>
    <w:rsid w:val="003E7628"/>
    <w:rsid w:val="003E76BB"/>
    <w:rsid w:val="003E7706"/>
    <w:rsid w:val="003E7920"/>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2FC9"/>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4B7"/>
    <w:rsid w:val="00444901"/>
    <w:rsid w:val="00444934"/>
    <w:rsid w:val="00444F5E"/>
    <w:rsid w:val="00445513"/>
    <w:rsid w:val="00445625"/>
    <w:rsid w:val="00445907"/>
    <w:rsid w:val="00445CFF"/>
    <w:rsid w:val="004462AF"/>
    <w:rsid w:val="00446424"/>
    <w:rsid w:val="0044662A"/>
    <w:rsid w:val="004478FA"/>
    <w:rsid w:val="004479DD"/>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43"/>
    <w:rsid w:val="004548E5"/>
    <w:rsid w:val="00454ACD"/>
    <w:rsid w:val="00454F08"/>
    <w:rsid w:val="00454F85"/>
    <w:rsid w:val="00455105"/>
    <w:rsid w:val="004553DB"/>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A16"/>
    <w:rsid w:val="00476D14"/>
    <w:rsid w:val="00476D8B"/>
    <w:rsid w:val="00476E98"/>
    <w:rsid w:val="00476EAE"/>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940"/>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6A"/>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6E7"/>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6F00"/>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D57"/>
    <w:rsid w:val="00572F26"/>
    <w:rsid w:val="005730FF"/>
    <w:rsid w:val="0057380A"/>
    <w:rsid w:val="00573BB0"/>
    <w:rsid w:val="00573D2B"/>
    <w:rsid w:val="00573F24"/>
    <w:rsid w:val="00574167"/>
    <w:rsid w:val="00574D14"/>
    <w:rsid w:val="00574FDC"/>
    <w:rsid w:val="005753DB"/>
    <w:rsid w:val="005756BD"/>
    <w:rsid w:val="00575A63"/>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7E0"/>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C42"/>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5F1D"/>
    <w:rsid w:val="005E5F32"/>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80B"/>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5FD"/>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5BB"/>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26"/>
    <w:rsid w:val="00680A97"/>
    <w:rsid w:val="00680F30"/>
    <w:rsid w:val="00680F81"/>
    <w:rsid w:val="0068102D"/>
    <w:rsid w:val="00681254"/>
    <w:rsid w:val="00681307"/>
    <w:rsid w:val="00681685"/>
    <w:rsid w:val="006820C0"/>
    <w:rsid w:val="0068226B"/>
    <w:rsid w:val="00682E47"/>
    <w:rsid w:val="00682ED3"/>
    <w:rsid w:val="00683214"/>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2FCB"/>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3FCC"/>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103"/>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6DB7"/>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736"/>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672"/>
    <w:rsid w:val="00787736"/>
    <w:rsid w:val="00787872"/>
    <w:rsid w:val="00787A55"/>
    <w:rsid w:val="00787D57"/>
    <w:rsid w:val="00787FF1"/>
    <w:rsid w:val="00790C46"/>
    <w:rsid w:val="00791190"/>
    <w:rsid w:val="007916D2"/>
    <w:rsid w:val="00791866"/>
    <w:rsid w:val="00791ADE"/>
    <w:rsid w:val="00791BE9"/>
    <w:rsid w:val="00791BEA"/>
    <w:rsid w:val="007925CE"/>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BA3"/>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17F7F"/>
    <w:rsid w:val="00820A96"/>
    <w:rsid w:val="008216E2"/>
    <w:rsid w:val="0082172C"/>
    <w:rsid w:val="008219C7"/>
    <w:rsid w:val="00821A22"/>
    <w:rsid w:val="00821DC0"/>
    <w:rsid w:val="00822131"/>
    <w:rsid w:val="008230F1"/>
    <w:rsid w:val="008231BD"/>
    <w:rsid w:val="00823335"/>
    <w:rsid w:val="008235D2"/>
    <w:rsid w:val="008235E4"/>
    <w:rsid w:val="008237B2"/>
    <w:rsid w:val="00823939"/>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378"/>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6D1"/>
    <w:rsid w:val="0084387F"/>
    <w:rsid w:val="00843AFD"/>
    <w:rsid w:val="00843B2C"/>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0D79"/>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D9D"/>
    <w:rsid w:val="00887FEF"/>
    <w:rsid w:val="008907B2"/>
    <w:rsid w:val="00890BC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949"/>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5E1C"/>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3702"/>
    <w:rsid w:val="00994CEA"/>
    <w:rsid w:val="00994D59"/>
    <w:rsid w:val="009951AB"/>
    <w:rsid w:val="0099531F"/>
    <w:rsid w:val="00995360"/>
    <w:rsid w:val="009954AD"/>
    <w:rsid w:val="00995A8D"/>
    <w:rsid w:val="009967C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14E"/>
    <w:rsid w:val="009A4990"/>
    <w:rsid w:val="009A4AA9"/>
    <w:rsid w:val="009A516A"/>
    <w:rsid w:val="009A56A7"/>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2E9A"/>
    <w:rsid w:val="009B3685"/>
    <w:rsid w:val="009B3745"/>
    <w:rsid w:val="009B3C79"/>
    <w:rsid w:val="009B3D47"/>
    <w:rsid w:val="009B4250"/>
    <w:rsid w:val="009B4821"/>
    <w:rsid w:val="009B4C1C"/>
    <w:rsid w:val="009B4C24"/>
    <w:rsid w:val="009B5327"/>
    <w:rsid w:val="009B5821"/>
    <w:rsid w:val="009B70E9"/>
    <w:rsid w:val="009B72E5"/>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B8A"/>
    <w:rsid w:val="009C2DDB"/>
    <w:rsid w:val="009C3D88"/>
    <w:rsid w:val="009C42A3"/>
    <w:rsid w:val="009C4A67"/>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8E2"/>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57B"/>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C8D"/>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0F03"/>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A0D"/>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3DD"/>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3D08"/>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48"/>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AE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5DE"/>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2F7"/>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F4"/>
    <w:rsid w:val="00BA4FDC"/>
    <w:rsid w:val="00BA54FB"/>
    <w:rsid w:val="00BA5B69"/>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C99"/>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0C7"/>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383"/>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86B"/>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AFC"/>
    <w:rsid w:val="00D02C36"/>
    <w:rsid w:val="00D02E17"/>
    <w:rsid w:val="00D02F2F"/>
    <w:rsid w:val="00D0321D"/>
    <w:rsid w:val="00D039DC"/>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944"/>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06"/>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60"/>
    <w:rsid w:val="00DC7890"/>
    <w:rsid w:val="00DC79A3"/>
    <w:rsid w:val="00DC7C82"/>
    <w:rsid w:val="00DC7E92"/>
    <w:rsid w:val="00DD02C4"/>
    <w:rsid w:val="00DD044C"/>
    <w:rsid w:val="00DD128A"/>
    <w:rsid w:val="00DD12B1"/>
    <w:rsid w:val="00DD12B5"/>
    <w:rsid w:val="00DD18BD"/>
    <w:rsid w:val="00DD1947"/>
    <w:rsid w:val="00DD1E75"/>
    <w:rsid w:val="00DD1ED7"/>
    <w:rsid w:val="00DD21B6"/>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862"/>
    <w:rsid w:val="00DF0D33"/>
    <w:rsid w:val="00DF0E63"/>
    <w:rsid w:val="00DF12DC"/>
    <w:rsid w:val="00DF1300"/>
    <w:rsid w:val="00DF1EB6"/>
    <w:rsid w:val="00DF1FD6"/>
    <w:rsid w:val="00DF21AF"/>
    <w:rsid w:val="00DF2B67"/>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37"/>
    <w:rsid w:val="00E00368"/>
    <w:rsid w:val="00E005F5"/>
    <w:rsid w:val="00E00A07"/>
    <w:rsid w:val="00E00A92"/>
    <w:rsid w:val="00E010A3"/>
    <w:rsid w:val="00E01395"/>
    <w:rsid w:val="00E019EA"/>
    <w:rsid w:val="00E01A5C"/>
    <w:rsid w:val="00E02151"/>
    <w:rsid w:val="00E028E6"/>
    <w:rsid w:val="00E02A90"/>
    <w:rsid w:val="00E02C20"/>
    <w:rsid w:val="00E0324B"/>
    <w:rsid w:val="00E03311"/>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D8F"/>
    <w:rsid w:val="00E11EB8"/>
    <w:rsid w:val="00E1273A"/>
    <w:rsid w:val="00E12933"/>
    <w:rsid w:val="00E12A5A"/>
    <w:rsid w:val="00E12AF0"/>
    <w:rsid w:val="00E12BB7"/>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5AE8"/>
    <w:rsid w:val="00E460A1"/>
    <w:rsid w:val="00E46CC9"/>
    <w:rsid w:val="00E47D5F"/>
    <w:rsid w:val="00E47D96"/>
    <w:rsid w:val="00E50344"/>
    <w:rsid w:val="00E508D6"/>
    <w:rsid w:val="00E50A5A"/>
    <w:rsid w:val="00E515A3"/>
    <w:rsid w:val="00E51E23"/>
    <w:rsid w:val="00E523F3"/>
    <w:rsid w:val="00E5295D"/>
    <w:rsid w:val="00E52F76"/>
    <w:rsid w:val="00E530B9"/>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23"/>
    <w:rsid w:val="00E6134E"/>
    <w:rsid w:val="00E613CE"/>
    <w:rsid w:val="00E61DAC"/>
    <w:rsid w:val="00E61F86"/>
    <w:rsid w:val="00E62612"/>
    <w:rsid w:val="00E62AF2"/>
    <w:rsid w:val="00E62C6B"/>
    <w:rsid w:val="00E62DDA"/>
    <w:rsid w:val="00E630F7"/>
    <w:rsid w:val="00E639DF"/>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1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1D8"/>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C2A"/>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38EC"/>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3EA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398"/>
    <w:rsid w:val="00F639FA"/>
    <w:rsid w:val="00F63A49"/>
    <w:rsid w:val="00F63CD2"/>
    <w:rsid w:val="00F63EAE"/>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0E18"/>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A7D"/>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6C7"/>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536"/>
    <w:rsid w:val="00FF48E0"/>
    <w:rsid w:val="00FF5026"/>
    <w:rsid w:val="00FF5173"/>
    <w:rsid w:val="00FF51D0"/>
    <w:rsid w:val="00FF5212"/>
    <w:rsid w:val="00FF52CC"/>
    <w:rsid w:val="00FF52E3"/>
    <w:rsid w:val="00FF5D1A"/>
    <w:rsid w:val="00FF609A"/>
    <w:rsid w:val="00FF6121"/>
    <w:rsid w:val="00FF69D6"/>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33052837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930065">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789723">
      <w:bodyDiv w:val="1"/>
      <w:marLeft w:val="0"/>
      <w:marRight w:val="0"/>
      <w:marTop w:val="0"/>
      <w:marBottom w:val="0"/>
      <w:divBdr>
        <w:top w:val="none" w:sz="0" w:space="0" w:color="auto"/>
        <w:left w:val="none" w:sz="0" w:space="0" w:color="auto"/>
        <w:bottom w:val="none" w:sz="0" w:space="0" w:color="auto"/>
        <w:right w:val="none" w:sz="0" w:space="0" w:color="auto"/>
      </w:divBdr>
      <w:divsChild>
        <w:div w:id="1935743590">
          <w:marLeft w:val="547"/>
          <w:marRight w:val="0"/>
          <w:marTop w:val="115"/>
          <w:marBottom w:val="0"/>
          <w:divBdr>
            <w:top w:val="none" w:sz="0" w:space="0" w:color="auto"/>
            <w:left w:val="none" w:sz="0" w:space="0" w:color="auto"/>
            <w:bottom w:val="none" w:sz="0" w:space="0" w:color="auto"/>
            <w:right w:val="none" w:sz="0" w:space="0" w:color="auto"/>
          </w:divBdr>
        </w:div>
        <w:div w:id="101388494">
          <w:marLeft w:val="1166"/>
          <w:marRight w:val="0"/>
          <w:marTop w:val="96"/>
          <w:marBottom w:val="0"/>
          <w:divBdr>
            <w:top w:val="none" w:sz="0" w:space="0" w:color="auto"/>
            <w:left w:val="none" w:sz="0" w:space="0" w:color="auto"/>
            <w:bottom w:val="none" w:sz="0" w:space="0" w:color="auto"/>
            <w:right w:val="none" w:sz="0" w:space="0" w:color="auto"/>
          </w:divBdr>
        </w:div>
        <w:div w:id="1770659805">
          <w:marLeft w:val="547"/>
          <w:marRight w:val="0"/>
          <w:marTop w:val="115"/>
          <w:marBottom w:val="0"/>
          <w:divBdr>
            <w:top w:val="none" w:sz="0" w:space="0" w:color="auto"/>
            <w:left w:val="none" w:sz="0" w:space="0" w:color="auto"/>
            <w:bottom w:val="none" w:sz="0" w:space="0" w:color="auto"/>
            <w:right w:val="none" w:sz="0" w:space="0" w:color="auto"/>
          </w:divBdr>
        </w:div>
        <w:div w:id="1189367273">
          <w:marLeft w:val="1166"/>
          <w:marRight w:val="0"/>
          <w:marTop w:val="96"/>
          <w:marBottom w:val="0"/>
          <w:divBdr>
            <w:top w:val="none" w:sz="0" w:space="0" w:color="auto"/>
            <w:left w:val="none" w:sz="0" w:space="0" w:color="auto"/>
            <w:bottom w:val="none" w:sz="0" w:space="0" w:color="auto"/>
            <w:right w:val="none" w:sz="0" w:space="0" w:color="auto"/>
          </w:divBdr>
        </w:div>
        <w:div w:id="693577228">
          <w:marLeft w:val="1166"/>
          <w:marRight w:val="0"/>
          <w:marTop w:val="96"/>
          <w:marBottom w:val="0"/>
          <w:divBdr>
            <w:top w:val="none" w:sz="0" w:space="0" w:color="auto"/>
            <w:left w:val="none" w:sz="0" w:space="0" w:color="auto"/>
            <w:bottom w:val="none" w:sz="0" w:space="0" w:color="auto"/>
            <w:right w:val="none" w:sz="0" w:space="0" w:color="auto"/>
          </w:divBdr>
        </w:div>
        <w:div w:id="439570450">
          <w:marLeft w:val="1627"/>
          <w:marRight w:val="0"/>
          <w:marTop w:val="96"/>
          <w:marBottom w:val="0"/>
          <w:divBdr>
            <w:top w:val="none" w:sz="0" w:space="0" w:color="auto"/>
            <w:left w:val="none" w:sz="0" w:space="0" w:color="auto"/>
            <w:bottom w:val="none" w:sz="0" w:space="0" w:color="auto"/>
            <w:right w:val="none" w:sz="0" w:space="0" w:color="auto"/>
          </w:divBdr>
        </w:div>
        <w:div w:id="956911417">
          <w:marLeft w:val="547"/>
          <w:marRight w:val="0"/>
          <w:marTop w:val="115"/>
          <w:marBottom w:val="0"/>
          <w:divBdr>
            <w:top w:val="none" w:sz="0" w:space="0" w:color="auto"/>
            <w:left w:val="none" w:sz="0" w:space="0" w:color="auto"/>
            <w:bottom w:val="none" w:sz="0" w:space="0" w:color="auto"/>
            <w:right w:val="none" w:sz="0" w:space="0" w:color="auto"/>
          </w:divBdr>
        </w:div>
        <w:div w:id="151221772">
          <w:marLeft w:val="1166"/>
          <w:marRight w:val="0"/>
          <w:marTop w:val="96"/>
          <w:marBottom w:val="0"/>
          <w:divBdr>
            <w:top w:val="none" w:sz="0" w:space="0" w:color="auto"/>
            <w:left w:val="none" w:sz="0" w:space="0" w:color="auto"/>
            <w:bottom w:val="none" w:sz="0" w:space="0" w:color="auto"/>
            <w:right w:val="none" w:sz="0" w:space="0" w:color="auto"/>
          </w:divBdr>
        </w:div>
        <w:div w:id="714889466">
          <w:marLeft w:val="1166"/>
          <w:marRight w:val="0"/>
          <w:marTop w:val="96"/>
          <w:marBottom w:val="0"/>
          <w:divBdr>
            <w:top w:val="none" w:sz="0" w:space="0" w:color="auto"/>
            <w:left w:val="none" w:sz="0" w:space="0" w:color="auto"/>
            <w:bottom w:val="none" w:sz="0" w:space="0" w:color="auto"/>
            <w:right w:val="none" w:sz="0" w:space="0" w:color="auto"/>
          </w:divBdr>
        </w:div>
        <w:div w:id="1852600063">
          <w:marLeft w:val="1627"/>
          <w:marRight w:val="0"/>
          <w:marTop w:val="96"/>
          <w:marBottom w:val="0"/>
          <w:divBdr>
            <w:top w:val="none" w:sz="0" w:space="0" w:color="auto"/>
            <w:left w:val="none" w:sz="0" w:space="0" w:color="auto"/>
            <w:bottom w:val="none" w:sz="0" w:space="0" w:color="auto"/>
            <w:right w:val="none" w:sz="0" w:space="0" w:color="auto"/>
          </w:divBdr>
        </w:div>
        <w:div w:id="1353074698">
          <w:marLeft w:val="547"/>
          <w:marRight w:val="0"/>
          <w:marTop w:val="115"/>
          <w:marBottom w:val="0"/>
          <w:divBdr>
            <w:top w:val="none" w:sz="0" w:space="0" w:color="auto"/>
            <w:left w:val="none" w:sz="0" w:space="0" w:color="auto"/>
            <w:bottom w:val="none" w:sz="0" w:space="0" w:color="auto"/>
            <w:right w:val="none" w:sz="0" w:space="0" w:color="auto"/>
          </w:divBdr>
        </w:div>
        <w:div w:id="1402564009">
          <w:marLeft w:val="1166"/>
          <w:marRight w:val="0"/>
          <w:marTop w:val="96"/>
          <w:marBottom w:val="0"/>
          <w:divBdr>
            <w:top w:val="none" w:sz="0" w:space="0" w:color="auto"/>
            <w:left w:val="none" w:sz="0" w:space="0" w:color="auto"/>
            <w:bottom w:val="none" w:sz="0" w:space="0" w:color="auto"/>
            <w:right w:val="none" w:sz="0" w:space="0" w:color="auto"/>
          </w:divBdr>
        </w:div>
        <w:div w:id="102724058">
          <w:marLeft w:val="1166"/>
          <w:marRight w:val="0"/>
          <w:marTop w:val="96"/>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1610066">
      <w:bodyDiv w:val="1"/>
      <w:marLeft w:val="0"/>
      <w:marRight w:val="0"/>
      <w:marTop w:val="0"/>
      <w:marBottom w:val="0"/>
      <w:divBdr>
        <w:top w:val="none" w:sz="0" w:space="0" w:color="auto"/>
        <w:left w:val="none" w:sz="0" w:space="0" w:color="auto"/>
        <w:bottom w:val="none" w:sz="0" w:space="0" w:color="auto"/>
        <w:right w:val="none" w:sz="0" w:space="0" w:color="auto"/>
      </w:divBdr>
      <w:divsChild>
        <w:div w:id="1589464331">
          <w:marLeft w:val="547"/>
          <w:marRight w:val="0"/>
          <w:marTop w:val="115"/>
          <w:marBottom w:val="0"/>
          <w:divBdr>
            <w:top w:val="none" w:sz="0" w:space="0" w:color="auto"/>
            <w:left w:val="none" w:sz="0" w:space="0" w:color="auto"/>
            <w:bottom w:val="none" w:sz="0" w:space="0" w:color="auto"/>
            <w:right w:val="none" w:sz="0" w:space="0" w:color="auto"/>
          </w:divBdr>
        </w:div>
        <w:div w:id="2124691021">
          <w:marLeft w:val="1166"/>
          <w:marRight w:val="0"/>
          <w:marTop w:val="96"/>
          <w:marBottom w:val="0"/>
          <w:divBdr>
            <w:top w:val="none" w:sz="0" w:space="0" w:color="auto"/>
            <w:left w:val="none" w:sz="0" w:space="0" w:color="auto"/>
            <w:bottom w:val="none" w:sz="0" w:space="0" w:color="auto"/>
            <w:right w:val="none" w:sz="0" w:space="0" w:color="auto"/>
          </w:divBdr>
        </w:div>
        <w:div w:id="194735335">
          <w:marLeft w:val="547"/>
          <w:marRight w:val="0"/>
          <w:marTop w:val="115"/>
          <w:marBottom w:val="0"/>
          <w:divBdr>
            <w:top w:val="none" w:sz="0" w:space="0" w:color="auto"/>
            <w:left w:val="none" w:sz="0" w:space="0" w:color="auto"/>
            <w:bottom w:val="none" w:sz="0" w:space="0" w:color="auto"/>
            <w:right w:val="none" w:sz="0" w:space="0" w:color="auto"/>
          </w:divBdr>
        </w:div>
        <w:div w:id="512764433">
          <w:marLeft w:val="1166"/>
          <w:marRight w:val="0"/>
          <w:marTop w:val="96"/>
          <w:marBottom w:val="0"/>
          <w:divBdr>
            <w:top w:val="none" w:sz="0" w:space="0" w:color="auto"/>
            <w:left w:val="none" w:sz="0" w:space="0" w:color="auto"/>
            <w:bottom w:val="none" w:sz="0" w:space="0" w:color="auto"/>
            <w:right w:val="none" w:sz="0" w:space="0" w:color="auto"/>
          </w:divBdr>
        </w:div>
        <w:div w:id="188105951">
          <w:marLeft w:val="1166"/>
          <w:marRight w:val="0"/>
          <w:marTop w:val="96"/>
          <w:marBottom w:val="0"/>
          <w:divBdr>
            <w:top w:val="none" w:sz="0" w:space="0" w:color="auto"/>
            <w:left w:val="none" w:sz="0" w:space="0" w:color="auto"/>
            <w:bottom w:val="none" w:sz="0" w:space="0" w:color="auto"/>
            <w:right w:val="none" w:sz="0" w:space="0" w:color="auto"/>
          </w:divBdr>
        </w:div>
        <w:div w:id="1596933687">
          <w:marLeft w:val="1627"/>
          <w:marRight w:val="0"/>
          <w:marTop w:val="96"/>
          <w:marBottom w:val="0"/>
          <w:divBdr>
            <w:top w:val="none" w:sz="0" w:space="0" w:color="auto"/>
            <w:left w:val="none" w:sz="0" w:space="0" w:color="auto"/>
            <w:bottom w:val="none" w:sz="0" w:space="0" w:color="auto"/>
            <w:right w:val="none" w:sz="0" w:space="0" w:color="auto"/>
          </w:divBdr>
        </w:div>
        <w:div w:id="158468801">
          <w:marLeft w:val="547"/>
          <w:marRight w:val="0"/>
          <w:marTop w:val="115"/>
          <w:marBottom w:val="0"/>
          <w:divBdr>
            <w:top w:val="none" w:sz="0" w:space="0" w:color="auto"/>
            <w:left w:val="none" w:sz="0" w:space="0" w:color="auto"/>
            <w:bottom w:val="none" w:sz="0" w:space="0" w:color="auto"/>
            <w:right w:val="none" w:sz="0" w:space="0" w:color="auto"/>
          </w:divBdr>
        </w:div>
        <w:div w:id="1946764728">
          <w:marLeft w:val="1166"/>
          <w:marRight w:val="0"/>
          <w:marTop w:val="96"/>
          <w:marBottom w:val="0"/>
          <w:divBdr>
            <w:top w:val="none" w:sz="0" w:space="0" w:color="auto"/>
            <w:left w:val="none" w:sz="0" w:space="0" w:color="auto"/>
            <w:bottom w:val="none" w:sz="0" w:space="0" w:color="auto"/>
            <w:right w:val="none" w:sz="0" w:space="0" w:color="auto"/>
          </w:divBdr>
        </w:div>
        <w:div w:id="1765566898">
          <w:marLeft w:val="1166"/>
          <w:marRight w:val="0"/>
          <w:marTop w:val="96"/>
          <w:marBottom w:val="0"/>
          <w:divBdr>
            <w:top w:val="none" w:sz="0" w:space="0" w:color="auto"/>
            <w:left w:val="none" w:sz="0" w:space="0" w:color="auto"/>
            <w:bottom w:val="none" w:sz="0" w:space="0" w:color="auto"/>
            <w:right w:val="none" w:sz="0" w:space="0" w:color="auto"/>
          </w:divBdr>
        </w:div>
        <w:div w:id="2037466924">
          <w:marLeft w:val="1627"/>
          <w:marRight w:val="0"/>
          <w:marTop w:val="96"/>
          <w:marBottom w:val="0"/>
          <w:divBdr>
            <w:top w:val="none" w:sz="0" w:space="0" w:color="auto"/>
            <w:left w:val="none" w:sz="0" w:space="0" w:color="auto"/>
            <w:bottom w:val="none" w:sz="0" w:space="0" w:color="auto"/>
            <w:right w:val="none" w:sz="0" w:space="0" w:color="auto"/>
          </w:divBdr>
        </w:div>
        <w:div w:id="314839441">
          <w:marLeft w:val="547"/>
          <w:marRight w:val="0"/>
          <w:marTop w:val="115"/>
          <w:marBottom w:val="0"/>
          <w:divBdr>
            <w:top w:val="none" w:sz="0" w:space="0" w:color="auto"/>
            <w:left w:val="none" w:sz="0" w:space="0" w:color="auto"/>
            <w:bottom w:val="none" w:sz="0" w:space="0" w:color="auto"/>
            <w:right w:val="none" w:sz="0" w:space="0" w:color="auto"/>
          </w:divBdr>
        </w:div>
        <w:div w:id="1552810199">
          <w:marLeft w:val="1166"/>
          <w:marRight w:val="0"/>
          <w:marTop w:val="96"/>
          <w:marBottom w:val="0"/>
          <w:divBdr>
            <w:top w:val="none" w:sz="0" w:space="0" w:color="auto"/>
            <w:left w:val="none" w:sz="0" w:space="0" w:color="auto"/>
            <w:bottom w:val="none" w:sz="0" w:space="0" w:color="auto"/>
            <w:right w:val="none" w:sz="0" w:space="0" w:color="auto"/>
          </w:divBdr>
        </w:div>
        <w:div w:id="591358557">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0780742">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796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7508952">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507234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664685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786926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095846">
      <w:bodyDiv w:val="1"/>
      <w:marLeft w:val="0"/>
      <w:marRight w:val="0"/>
      <w:marTop w:val="0"/>
      <w:marBottom w:val="0"/>
      <w:divBdr>
        <w:top w:val="none" w:sz="0" w:space="0" w:color="auto"/>
        <w:left w:val="none" w:sz="0" w:space="0" w:color="auto"/>
        <w:bottom w:val="none" w:sz="0" w:space="0" w:color="auto"/>
        <w:right w:val="none" w:sz="0" w:space="0" w:color="auto"/>
      </w:divBdr>
      <w:divsChild>
        <w:div w:id="1660230812">
          <w:marLeft w:val="547"/>
          <w:marRight w:val="0"/>
          <w:marTop w:val="115"/>
          <w:marBottom w:val="0"/>
          <w:divBdr>
            <w:top w:val="none" w:sz="0" w:space="0" w:color="auto"/>
            <w:left w:val="none" w:sz="0" w:space="0" w:color="auto"/>
            <w:bottom w:val="none" w:sz="0" w:space="0" w:color="auto"/>
            <w:right w:val="none" w:sz="0" w:space="0" w:color="auto"/>
          </w:divBdr>
        </w:div>
        <w:div w:id="2023817848">
          <w:marLeft w:val="547"/>
          <w:marRight w:val="0"/>
          <w:marTop w:val="115"/>
          <w:marBottom w:val="0"/>
          <w:divBdr>
            <w:top w:val="none" w:sz="0" w:space="0" w:color="auto"/>
            <w:left w:val="none" w:sz="0" w:space="0" w:color="auto"/>
            <w:bottom w:val="none" w:sz="0" w:space="0" w:color="auto"/>
            <w:right w:val="none" w:sz="0" w:space="0" w:color="auto"/>
          </w:divBdr>
        </w:div>
        <w:div w:id="567309296">
          <w:marLeft w:val="547"/>
          <w:marRight w:val="0"/>
          <w:marTop w:val="115"/>
          <w:marBottom w:val="0"/>
          <w:divBdr>
            <w:top w:val="none" w:sz="0" w:space="0" w:color="auto"/>
            <w:left w:val="none" w:sz="0" w:space="0" w:color="auto"/>
            <w:bottom w:val="none" w:sz="0" w:space="0" w:color="auto"/>
            <w:right w:val="none" w:sz="0" w:space="0" w:color="auto"/>
          </w:divBdr>
        </w:div>
        <w:div w:id="106698631">
          <w:marLeft w:val="547"/>
          <w:marRight w:val="0"/>
          <w:marTop w:val="115"/>
          <w:marBottom w:val="0"/>
          <w:divBdr>
            <w:top w:val="none" w:sz="0" w:space="0" w:color="auto"/>
            <w:left w:val="none" w:sz="0" w:space="0" w:color="auto"/>
            <w:bottom w:val="none" w:sz="0" w:space="0" w:color="auto"/>
            <w:right w:val="none" w:sz="0" w:space="0" w:color="auto"/>
          </w:divBdr>
        </w:div>
        <w:div w:id="309406102">
          <w:marLeft w:val="1166"/>
          <w:marRight w:val="0"/>
          <w:marTop w:val="115"/>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7999098">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HR33RHYHUWRF-4-6208</_dlc_DocId>
    <_dlc_DocIdUrl xmlns="c06861ca-3f08-4d07-bff7-bb15bac121f4">
      <Url>https://projects.qualcomm.com/sites/pentari/_layouts/15/DocIdRedir.aspx?ID=HR33RHYHUWRF-4-6208</Url>
      <Description>HR33RHYHUWRF-4-6208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61643-7C0C-4A0B-83D5-557566199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1646</TotalTime>
  <Pages>12</Pages>
  <Words>3081</Words>
  <Characters>19051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226</cp:revision>
  <cp:lastPrinted>2014-11-07T05:38:00Z</cp:lastPrinted>
  <dcterms:created xsi:type="dcterms:W3CDTF">2017-05-06T13:07:00Z</dcterms:created>
  <dcterms:modified xsi:type="dcterms:W3CDTF">2017-11-28T16:16:00Z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3909f005-ff7f-4a95-931e-4b990a95e3d2</vt:lpwstr>
  </property>
</Properties>
</file>